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outlineLvl w:val="0"/>
        <w:rPr>
          <w:rFonts w:hint="eastAsia" w:ascii="宋体" w:hAnsi="宋体" w:cs="宋体"/>
          <w:b/>
          <w:bCs/>
          <w:color w:val="000000" w:themeColor="text1"/>
          <w:sz w:val="44"/>
          <w:szCs w:val="44"/>
          <w:highlight w:val="none"/>
          <w14:textFill>
            <w14:solidFill>
              <w14:schemeClr w14:val="tx1"/>
            </w14:solidFill>
          </w14:textFill>
        </w:rPr>
      </w:pPr>
      <w:bookmarkStart w:id="4" w:name="_GoBack"/>
      <w:bookmarkEnd w:id="4"/>
      <w:r>
        <w:rPr>
          <w:rFonts w:hint="eastAsia" w:ascii="宋体" w:hAnsi="宋体" w:cs="宋体"/>
          <w:b/>
          <w:bCs/>
          <w:color w:val="000000" w:themeColor="text1"/>
          <w:sz w:val="44"/>
          <w:szCs w:val="44"/>
          <w:highlight w:val="none"/>
          <w:lang w:eastAsia="zh-CN"/>
          <w14:textFill>
            <w14:solidFill>
              <w14:schemeClr w14:val="tx1"/>
            </w14:solidFill>
          </w14:textFill>
        </w:rPr>
        <w:t>幸福99添益固收(稳盈存款存单策略)7天持有期理财</w:t>
      </w:r>
      <w:r>
        <w:rPr>
          <w:rFonts w:hint="eastAsia" w:ascii="宋体" w:hAnsi="宋体" w:cs="宋体"/>
          <w:b/>
          <w:bCs/>
          <w:color w:val="000000" w:themeColor="text1"/>
          <w:sz w:val="44"/>
          <w:szCs w:val="44"/>
          <w:highlight w:val="none"/>
          <w14:textFill>
            <w14:solidFill>
              <w14:schemeClr w14:val="tx1"/>
            </w14:solidFill>
          </w14:textFill>
        </w:rPr>
        <w:t>产品说明书</w:t>
      </w:r>
    </w:p>
    <w:p>
      <w:pPr>
        <w:jc w:val="center"/>
        <w:rPr>
          <w:rFonts w:hint="eastAsia" w:ascii="宋体" w:hAnsi="宋体" w:cs="宋体"/>
          <w:b/>
          <w:bCs/>
          <w:color w:val="000000" w:themeColor="text1"/>
          <w:sz w:val="44"/>
          <w:szCs w:val="44"/>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w:t>
      </w:r>
      <w:r>
        <w:rPr>
          <w:rFonts w:hint="eastAsia" w:ascii="宋体" w:hAnsi="宋体" w:cs="宋体"/>
          <w:color w:val="000000" w:themeColor="text1"/>
          <w:sz w:val="28"/>
          <w:szCs w:val="28"/>
          <w:highlight w:val="none"/>
          <w:lang w:eastAsia="zh-CN"/>
          <w14:textFill>
            <w14:solidFill>
              <w14:schemeClr w14:val="tx1"/>
            </w14:solidFill>
          </w14:textFill>
        </w:rPr>
        <w:t>202501</w:t>
      </w:r>
      <w:r>
        <w:rPr>
          <w:rFonts w:hint="eastAsia" w:ascii="宋体" w:hAnsi="宋体" w:cs="宋体"/>
          <w:color w:val="000000" w:themeColor="text1"/>
          <w:sz w:val="28"/>
          <w:szCs w:val="28"/>
          <w:highlight w:val="none"/>
          <w14:textFill>
            <w14:solidFill>
              <w14:schemeClr w14:val="tx1"/>
            </w14:solidFill>
          </w14:textFill>
        </w:rPr>
        <w:t>版）</w:t>
      </w:r>
    </w:p>
    <w:p>
      <w:pPr>
        <w:spacing w:line="360" w:lineRule="auto"/>
        <w:jc w:val="righ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备案编号:</w:t>
      </w:r>
      <w:r>
        <w:rPr>
          <w:rFonts w:hint="eastAsia" w:ascii="宋体" w:hAnsi="宋体" w:cs="宋体"/>
          <w:bCs/>
          <w:color w:val="000000" w:themeColor="text1"/>
          <w:sz w:val="24"/>
          <w:highlight w:val="none"/>
          <w14:textFill>
            <w14:solidFill>
              <w14:schemeClr w14:val="tx1"/>
            </w14:solidFill>
          </w14:textFill>
        </w:rPr>
        <w:t>〖Z7002225000114〗</w:t>
      </w:r>
    </w:p>
    <w:p>
      <w:pPr>
        <w:spacing w:line="360" w:lineRule="auto"/>
        <w:jc w:val="center"/>
        <w:rPr>
          <w:rFonts w:hint="eastAsia" w:ascii="宋体" w:hAnsi="宋体" w:cs="宋体"/>
          <w:bCs/>
          <w:color w:val="000000" w:themeColor="text1"/>
          <w:sz w:val="24"/>
          <w:highlight w:val="none"/>
          <w14:textFill>
            <w14:solidFill>
              <w14:schemeClr w14:val="tx1"/>
            </w14:solidFill>
          </w14:textFill>
        </w:rPr>
      </w:pPr>
    </w:p>
    <w:p>
      <w:pPr>
        <w:numPr>
          <w:ilvl w:val="0"/>
          <w:numId w:val="1"/>
        </w:numPr>
        <w:spacing w:line="360" w:lineRule="auto"/>
        <w:ind w:firstLine="482" w:firstLineChars="200"/>
        <w:jc w:val="left"/>
        <w:outlineLvl w:val="1"/>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重要须知</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本理财计划不等同于银行存款、预期收益型理财产品或其他产品。</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本理财计划仅向依据中华人民共和国有关法律法规及本理财计划产品说明书规定可以购买本理财计划的投资者发售。</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ind w:firstLine="482"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本理财计划是非保本净值型产品。管理人对本理财计划的本金和收益不提供保证承诺。</w:t>
      </w:r>
      <w:r>
        <w:rPr>
          <w:rFonts w:hint="eastAsia" w:ascii="宋体" w:hAnsi="宋体" w:cs="宋体"/>
          <w:bCs/>
          <w:color w:val="000000" w:themeColor="text1"/>
          <w:sz w:val="24"/>
          <w:highlight w:val="none"/>
          <w14:textFill>
            <w14:solidFill>
              <w14:schemeClr w14:val="tx1"/>
            </w14:solidFill>
          </w14:textFill>
        </w:rPr>
        <w:t>本理财计划主要风险为理财本金及收益风险，在极端市场情况下，投资者将损失本金，请投资者基于自身的独立判断进行投资决策。</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w:t>
      </w:r>
      <w:r>
        <w:rPr>
          <w:rFonts w:hint="eastAsia" w:ascii="宋体" w:hAnsi="宋体" w:cs="宋体"/>
          <w:bCs/>
          <w:color w:val="000000" w:themeColor="text1"/>
          <w:sz w:val="24"/>
          <w:highlight w:val="none"/>
          <w:lang w:eastAsia="zh-CN"/>
          <w14:textFill>
            <w14:solidFill>
              <w14:schemeClr w14:val="tx1"/>
            </w14:solidFill>
          </w14:textFill>
        </w:rPr>
        <w:t>理财计划</w:t>
      </w:r>
      <w:r>
        <w:rPr>
          <w:rFonts w:hint="eastAsia" w:ascii="宋体" w:hAnsi="宋体" w:cs="宋体"/>
          <w:bCs/>
          <w:color w:val="000000" w:themeColor="text1"/>
          <w:sz w:val="24"/>
          <w:highlight w:val="none"/>
          <w14:textFill>
            <w14:solidFill>
              <w14:schemeClr w14:val="tx1"/>
            </w14:solidFill>
          </w14:textFill>
        </w:rPr>
        <w:t>风险揭示书》《投资者权益须知》《理财计划投资协议书》</w:t>
      </w:r>
      <w:r>
        <w:rPr>
          <w:rFonts w:hint="eastAsia" w:ascii="宋体" w:hAnsi="宋体" w:cs="宋体"/>
          <w:bCs/>
          <w:color w:val="000000" w:themeColor="text1"/>
          <w:sz w:val="24"/>
          <w:highlight w:val="none"/>
          <w:lang w:eastAsia="zh-CN"/>
          <w14:textFill>
            <w14:solidFill>
              <w14:schemeClr w14:val="tx1"/>
            </w14:solidFill>
          </w14:textFill>
        </w:rPr>
        <w:t>《理财计划销售协议书》</w:t>
      </w:r>
      <w:r>
        <w:rPr>
          <w:rFonts w:hint="eastAsia" w:ascii="宋体" w:hAnsi="宋体" w:cs="宋体"/>
          <w:bCs/>
          <w:color w:val="000000" w:themeColor="text1"/>
          <w:sz w:val="24"/>
          <w:highlight w:val="none"/>
          <w14:textFill>
            <w14:solidFill>
              <w14:schemeClr w14:val="tx1"/>
            </w14:solidFill>
          </w14:textFill>
        </w:rPr>
        <w:t>，将共同构成投资者与管理人之间的理财计划</w:t>
      </w:r>
      <w:r>
        <w:rPr>
          <w:rFonts w:hint="eastAsia" w:ascii="宋体" w:hAnsi="宋体" w:cs="宋体"/>
          <w:bCs/>
          <w:color w:val="000000" w:themeColor="text1"/>
          <w:sz w:val="24"/>
          <w:highlight w:val="none"/>
          <w:lang w:val="en-US" w:eastAsia="zh-CN"/>
          <w14:textFill>
            <w14:solidFill>
              <w14:schemeClr w14:val="tx1"/>
            </w14:solidFill>
          </w14:textFill>
        </w:rPr>
        <w:t>销售文件</w:t>
      </w:r>
      <w:r>
        <w:rPr>
          <w:rFonts w:hint="eastAsia" w:ascii="宋体" w:hAnsi="宋体" w:cs="宋体"/>
          <w:bCs/>
          <w:color w:val="000000" w:themeColor="text1"/>
          <w:sz w:val="24"/>
          <w:highlight w:val="none"/>
          <w14:textFill>
            <w14:solidFill>
              <w14:schemeClr w14:val="tx1"/>
            </w14:solidFill>
          </w14:textFill>
        </w:rPr>
        <w:t>。</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在本理财计划存续期内，如因监管政策或法律法规发生变化，在不损害投资者利益的前提下，管理人有权对</w:t>
      </w:r>
      <w:r>
        <w:rPr>
          <w:rFonts w:hint="eastAsia" w:ascii="宋体" w:hAnsi="宋体" w:cs="宋体"/>
          <w:bCs/>
          <w:color w:val="000000" w:themeColor="text1"/>
          <w:sz w:val="24"/>
          <w:highlight w:val="none"/>
          <w:lang w:val="en-US" w:eastAsia="zh-CN"/>
          <w14:textFill>
            <w14:solidFill>
              <w14:schemeClr w14:val="tx1"/>
            </w14:solidFill>
          </w14:textFill>
        </w:rPr>
        <w:t>因上述变化导致的</w:t>
      </w:r>
      <w:r>
        <w:rPr>
          <w:rFonts w:hint="eastAsia" w:ascii="宋体" w:hAnsi="宋体" w:cs="宋体"/>
          <w:bCs/>
          <w:color w:val="000000" w:themeColor="text1"/>
          <w:sz w:val="24"/>
          <w:highlight w:val="none"/>
          <w14:textFill>
            <w14:solidFill>
              <w14:schemeClr w14:val="tx1"/>
            </w14:solidFill>
          </w14:textFill>
        </w:rPr>
        <w:t>本理财计划说明书条款</w:t>
      </w:r>
      <w:r>
        <w:rPr>
          <w:rFonts w:hint="eastAsia" w:ascii="宋体" w:hAnsi="宋体" w:cs="宋体"/>
          <w:bCs/>
          <w:color w:val="000000" w:themeColor="text1"/>
          <w:sz w:val="24"/>
          <w:highlight w:val="none"/>
          <w:lang w:val="en-US" w:eastAsia="zh-CN"/>
          <w14:textFill>
            <w14:solidFill>
              <w14:schemeClr w14:val="tx1"/>
            </w14:solidFill>
          </w14:textFill>
        </w:rPr>
        <w:t>变化</w:t>
      </w:r>
      <w:r>
        <w:rPr>
          <w:rFonts w:hint="eastAsia" w:ascii="宋体" w:hAnsi="宋体" w:cs="宋体"/>
          <w:bCs/>
          <w:color w:val="000000" w:themeColor="text1"/>
          <w:sz w:val="24"/>
          <w:highlight w:val="none"/>
          <w14:textFill>
            <w14:solidFill>
              <w14:schemeClr w14:val="tx1"/>
            </w14:solidFill>
          </w14:textFill>
        </w:rPr>
        <w:t>进行修订。</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管理人承诺以诚实守信、勤勉尽职的原则，根据本理财计划说明书所载要求管理和运用理财计划资产。</w:t>
      </w:r>
    </w:p>
    <w:p>
      <w:pPr>
        <w:numPr>
          <w:ilvl w:val="0"/>
          <w:numId w:val="2"/>
        </w:numPr>
        <w:spacing w:line="360" w:lineRule="auto"/>
        <w:ind w:firstLine="480" w:firstLineChars="20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管理人有权依法对本理财计划产品说明书进行解释。</w:t>
      </w:r>
    </w:p>
    <w:p>
      <w:pPr>
        <w:numPr>
          <w:ilvl w:val="0"/>
          <w:numId w:val="0"/>
        </w:numPr>
        <w:spacing w:line="360" w:lineRule="auto"/>
        <w:jc w:val="left"/>
        <w:rPr>
          <w:rFonts w:hint="eastAsia" w:ascii="宋体" w:hAnsi="宋体" w:cs="宋体"/>
          <w:bCs/>
          <w:color w:val="000000" w:themeColor="text1"/>
          <w:sz w:val="24"/>
          <w:highlight w:val="none"/>
          <w14:textFill>
            <w14:solidFill>
              <w14:schemeClr w14:val="tx1"/>
            </w14:solidFill>
          </w14:textFill>
        </w:rPr>
      </w:pPr>
    </w:p>
    <w:p>
      <w:pPr>
        <w:numPr>
          <w:ilvl w:val="0"/>
          <w:numId w:val="3"/>
        </w:numPr>
        <w:spacing w:line="360" w:lineRule="auto"/>
        <w:ind w:firstLine="482" w:firstLineChars="200"/>
        <w:jc w:val="left"/>
        <w:outlineLvl w:val="1"/>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释义</w:t>
      </w:r>
    </w:p>
    <w:p>
      <w:pPr>
        <w:pStyle w:val="17"/>
        <w:adjustRightInd/>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本说明书中，除非另有明确说明，否则下列词语或简称具有如下含义：</w:t>
      </w:r>
    </w:p>
    <w:p>
      <w:pPr>
        <w:pStyle w:val="17"/>
        <w:numPr>
          <w:ilvl w:val="0"/>
          <w:numId w:val="4"/>
        </w:numPr>
        <w:adjustRightInd/>
        <w:spacing w:line="360" w:lineRule="auto"/>
        <w:ind w:firstLine="482" w:firstLineChars="200"/>
        <w:outlineLvl w:val="2"/>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参与主体用语</w:t>
      </w:r>
    </w:p>
    <w:p>
      <w:pPr>
        <w:pStyle w:val="17"/>
        <w:numPr>
          <w:ilvl w:val="0"/>
          <w:numId w:val="5"/>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理财计划管理人/产品管理人/管理人/本公司：</w:t>
      </w:r>
      <w:r>
        <w:rPr>
          <w:rFonts w:hint="eastAsia" w:ascii="宋体" w:hAnsi="宋体" w:cs="宋体"/>
          <w:bCs/>
          <w:color w:val="000000" w:themeColor="text1"/>
          <w:kern w:val="2"/>
          <w:highlight w:val="none"/>
          <w14:textFill>
            <w14:solidFill>
              <w14:schemeClr w14:val="tx1"/>
            </w14:solidFill>
          </w14:textFill>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000000" w:themeColor="text1"/>
          <w:kern w:val="2"/>
          <w:highlight w:val="none"/>
          <w:lang w:eastAsia="zh-CN"/>
          <w14:textFill>
            <w14:solidFill>
              <w14:schemeClr w14:val="tx1"/>
            </w14:solidFill>
          </w14:textFill>
        </w:rPr>
        <w:t>杭银理财有限责任公司简称杭银理财，官网网站为</w:t>
      </w:r>
      <w:r>
        <w:rPr>
          <w:rFonts w:hint="eastAsia" w:ascii="宋体" w:hAnsi="宋体" w:cs="宋体"/>
          <w:bCs/>
          <w:color w:val="000000" w:themeColor="text1"/>
          <w:kern w:val="2"/>
          <w:highlight w:val="none"/>
          <w:u w:val="none"/>
          <w:lang w:val="en-US" w:eastAsia="zh-CN"/>
          <w14:textFill>
            <w14:solidFill>
              <w14:schemeClr w14:val="tx1"/>
            </w14:solidFill>
          </w14:textFill>
        </w:rPr>
        <w:t>https://</w:t>
      </w:r>
      <w:r>
        <w:rPr>
          <w:rFonts w:hint="eastAsia" w:ascii="宋体" w:hAnsi="宋体" w:cs="宋体"/>
          <w:bCs/>
          <w:color w:val="000000" w:themeColor="text1"/>
          <w:kern w:val="2"/>
          <w:highlight w:val="none"/>
          <w:u w:val="none"/>
          <w14:textFill>
            <w14:solidFill>
              <w14:schemeClr w14:val="tx1"/>
            </w14:solidFill>
          </w14:textFill>
        </w:rPr>
        <w:fldChar w:fldCharType="begin"/>
      </w:r>
      <w:r>
        <w:rPr>
          <w:rFonts w:hint="eastAsia" w:ascii="宋体" w:hAnsi="宋体" w:cs="宋体"/>
          <w:bCs/>
          <w:color w:val="000000" w:themeColor="text1"/>
          <w:kern w:val="2"/>
          <w:highlight w:val="none"/>
          <w:u w:val="none"/>
          <w14:textFill>
            <w14:solidFill>
              <w14:schemeClr w14:val="tx1"/>
            </w14:solidFill>
          </w14:textFill>
        </w:rPr>
        <w:instrText xml:space="preserve"> HYPERLINK "http://www.hzbank.com.cn" </w:instrText>
      </w:r>
      <w:r>
        <w:rPr>
          <w:rFonts w:hint="eastAsia" w:ascii="宋体" w:hAnsi="宋体" w:cs="宋体"/>
          <w:bCs/>
          <w:color w:val="000000" w:themeColor="text1"/>
          <w:kern w:val="2"/>
          <w:highlight w:val="none"/>
          <w:u w:val="none"/>
          <w14:textFill>
            <w14:solidFill>
              <w14:schemeClr w14:val="tx1"/>
            </w14:solidFill>
          </w14:textFill>
        </w:rPr>
        <w:fldChar w:fldCharType="separate"/>
      </w:r>
      <w:r>
        <w:rPr>
          <w:rFonts w:hint="eastAsia" w:ascii="宋体" w:hAnsi="宋体" w:cs="宋体"/>
          <w:bCs/>
          <w:color w:val="000000" w:themeColor="text1"/>
          <w:kern w:val="2"/>
          <w:highlight w:val="none"/>
          <w:u w:val="none"/>
          <w14:textFill>
            <w14:solidFill>
              <w14:schemeClr w14:val="tx1"/>
            </w14:solidFill>
          </w14:textFill>
        </w:rPr>
        <w:t>www.hzbank</w:t>
      </w:r>
      <w:r>
        <w:rPr>
          <w:rFonts w:hint="eastAsia" w:ascii="宋体" w:hAnsi="宋体" w:cs="宋体"/>
          <w:bCs/>
          <w:color w:val="000000" w:themeColor="text1"/>
          <w:kern w:val="2"/>
          <w:highlight w:val="none"/>
          <w:u w:val="none"/>
          <w:lang w:val="en-US" w:eastAsia="zh-CN"/>
          <w14:textFill>
            <w14:solidFill>
              <w14:schemeClr w14:val="tx1"/>
            </w14:solidFill>
          </w14:textFill>
        </w:rPr>
        <w:t>wealth</w:t>
      </w:r>
      <w:r>
        <w:rPr>
          <w:rFonts w:hint="eastAsia" w:ascii="宋体" w:hAnsi="宋体" w:cs="宋体"/>
          <w:bCs/>
          <w:color w:val="000000" w:themeColor="text1"/>
          <w:kern w:val="2"/>
          <w:highlight w:val="none"/>
          <w:u w:val="none"/>
          <w14:textFill>
            <w14:solidFill>
              <w14:schemeClr w14:val="tx1"/>
            </w14:solidFill>
          </w14:textFill>
        </w:rPr>
        <w:t>.com.cn</w:t>
      </w:r>
      <w:r>
        <w:rPr>
          <w:rFonts w:hint="eastAsia" w:ascii="宋体" w:hAnsi="宋体" w:cs="宋体"/>
          <w:bCs/>
          <w:color w:val="000000" w:themeColor="text1"/>
          <w:kern w:val="2"/>
          <w:highlight w:val="none"/>
          <w:u w:val="none"/>
          <w14:textFill>
            <w14:solidFill>
              <w14:schemeClr w14:val="tx1"/>
            </w14:solidFill>
          </w14:textFill>
        </w:rPr>
        <w:fldChar w:fldCharType="end"/>
      </w:r>
      <w:r>
        <w:rPr>
          <w:rFonts w:hint="eastAsia" w:ascii="宋体" w:hAnsi="宋体" w:cs="宋体"/>
          <w:bCs/>
          <w:color w:val="000000" w:themeColor="text1"/>
          <w:kern w:val="2"/>
          <w:highlight w:val="none"/>
          <w:u w:val="none"/>
          <w:lang w:eastAsia="zh-CN"/>
          <w14:textFill>
            <w14:solidFill>
              <w14:schemeClr w14:val="tx1"/>
            </w14:solidFill>
          </w14:textFill>
        </w:rPr>
        <w:t>，</w:t>
      </w:r>
      <w:r>
        <w:rPr>
          <w:rFonts w:hint="eastAsia" w:ascii="宋体" w:hAnsi="宋体" w:cs="宋体"/>
          <w:bCs/>
          <w:color w:val="000000" w:themeColor="text1"/>
          <w:kern w:val="2"/>
          <w:highlight w:val="none"/>
          <w:u w:val="none"/>
          <w:lang w:val="en-US" w:eastAsia="zh-CN"/>
          <w14:textFill>
            <w14:solidFill>
              <w14:schemeClr w14:val="tx1"/>
            </w14:solidFill>
          </w14:textFill>
        </w:rPr>
        <w:t>客服电话400-8950-999</w:t>
      </w:r>
      <w:r>
        <w:rPr>
          <w:rFonts w:hint="eastAsia" w:ascii="宋体" w:hAnsi="宋体" w:cs="宋体"/>
          <w:bCs/>
          <w:color w:val="000000" w:themeColor="text1"/>
          <w:kern w:val="2"/>
          <w:highlight w:val="none"/>
          <w:u w:val="none"/>
          <w14:textFill>
            <w14:solidFill>
              <w14:schemeClr w14:val="tx1"/>
            </w14:solidFill>
          </w14:textFill>
        </w:rPr>
        <w:t>。</w:t>
      </w:r>
    </w:p>
    <w:p>
      <w:pPr>
        <w:pStyle w:val="17"/>
        <w:numPr>
          <w:ilvl w:val="0"/>
          <w:numId w:val="5"/>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销售机构：</w:t>
      </w:r>
      <w:r>
        <w:rPr>
          <w:rFonts w:hint="eastAsia" w:ascii="宋体" w:hAnsi="宋体" w:cs="宋体"/>
          <w:bCs/>
          <w:color w:val="000000" w:themeColor="text1"/>
          <w:kern w:val="2"/>
          <w:highlight w:val="none"/>
          <w14:textFill>
            <w14:solidFill>
              <w14:schemeClr w14:val="tx1"/>
            </w14:solidFill>
          </w14:textFill>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themeColor="text1"/>
          <w:kern w:val="2"/>
          <w:highlight w:val="none"/>
          <w:u w:val="none"/>
          <w14:textFill>
            <w14:solidFill>
              <w14:schemeClr w14:val="tx1"/>
            </w14:solidFill>
          </w14:textFill>
        </w:rPr>
        <w:fldChar w:fldCharType="begin"/>
      </w:r>
      <w:r>
        <w:rPr>
          <w:rFonts w:hint="eastAsia" w:ascii="宋体" w:hAnsi="宋体" w:cs="宋体"/>
          <w:bCs/>
          <w:color w:val="000000" w:themeColor="text1"/>
          <w:kern w:val="2"/>
          <w:highlight w:val="none"/>
          <w:u w:val="none"/>
          <w14:textFill>
            <w14:solidFill>
              <w14:schemeClr w14:val="tx1"/>
            </w14:solidFill>
          </w14:textFill>
        </w:rPr>
        <w:instrText xml:space="preserve"> HYPERLINK "http://www.hzbank.com.cn" </w:instrText>
      </w:r>
      <w:r>
        <w:rPr>
          <w:rFonts w:hint="eastAsia" w:ascii="宋体" w:hAnsi="宋体" w:cs="宋体"/>
          <w:bCs/>
          <w:color w:val="000000" w:themeColor="text1"/>
          <w:kern w:val="2"/>
          <w:highlight w:val="none"/>
          <w:u w:val="none"/>
          <w14:textFill>
            <w14:solidFill>
              <w14:schemeClr w14:val="tx1"/>
            </w14:solidFill>
          </w14:textFill>
        </w:rPr>
        <w:fldChar w:fldCharType="separate"/>
      </w:r>
      <w:r>
        <w:rPr>
          <w:rFonts w:hint="eastAsia" w:ascii="宋体" w:hAnsi="宋体" w:cs="宋体"/>
          <w:bCs/>
          <w:color w:val="000000" w:themeColor="text1"/>
          <w:kern w:val="2"/>
          <w:highlight w:val="none"/>
          <w:u w:val="none"/>
          <w14:textFill>
            <w14:solidFill>
              <w14:schemeClr w14:val="tx1"/>
            </w14:solidFill>
          </w14:textFill>
        </w:rPr>
        <w:t>www.hzbank.com.cn</w:t>
      </w:r>
      <w:r>
        <w:rPr>
          <w:rFonts w:hint="eastAsia" w:ascii="宋体" w:hAnsi="宋体" w:cs="宋体"/>
          <w:bCs/>
          <w:color w:val="000000" w:themeColor="text1"/>
          <w:kern w:val="2"/>
          <w:highlight w:val="none"/>
          <w:u w:val="none"/>
          <w14:textFill>
            <w14:solidFill>
              <w14:schemeClr w14:val="tx1"/>
            </w14:solidFill>
          </w14:textFill>
        </w:rPr>
        <w:fldChar w:fldCharType="end"/>
      </w:r>
      <w:r>
        <w:rPr>
          <w:rFonts w:hint="eastAsia" w:ascii="宋体" w:hAnsi="宋体" w:cs="宋体"/>
          <w:bCs/>
          <w:color w:val="000000" w:themeColor="text1"/>
          <w:kern w:val="2"/>
          <w:highlight w:val="none"/>
          <w14:textFill>
            <w14:solidFill>
              <w14:schemeClr w14:val="tx1"/>
            </w14:solidFill>
          </w14:textFill>
        </w:rPr>
        <w:t>，客服热线为95398。</w:t>
      </w:r>
    </w:p>
    <w:p>
      <w:pPr>
        <w:pStyle w:val="17"/>
        <w:numPr>
          <w:ilvl w:val="0"/>
          <w:numId w:val="5"/>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理财计划托管人/产品托管人/托管人：</w:t>
      </w:r>
      <w:r>
        <w:rPr>
          <w:rFonts w:hint="eastAsia" w:ascii="宋体" w:hAnsi="宋体" w:cs="宋体"/>
          <w:bCs/>
          <w:color w:val="000000" w:themeColor="text1"/>
          <w:kern w:val="2"/>
          <w:highlight w:val="none"/>
          <w14:textFill>
            <w14:solidFill>
              <w14:schemeClr w14:val="tx1"/>
            </w14:solidFill>
          </w14:textFill>
        </w:rPr>
        <w:t>指</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bCs/>
          <w:color w:val="000000" w:themeColor="text1"/>
          <w:kern w:val="2"/>
          <w:highlight w:val="none"/>
          <w14:textFill>
            <w14:solidFill>
              <w14:schemeClr w14:val="tx1"/>
            </w14:solidFill>
          </w14:textFill>
        </w:rPr>
        <w:t>杭州银行股份有限公司</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bCs/>
          <w:color w:val="000000" w:themeColor="text1"/>
          <w:kern w:val="2"/>
          <w:highlight w:val="none"/>
          <w14:textFill>
            <w14:solidFill>
              <w14:schemeClr w14:val="tx1"/>
            </w14:solidFill>
          </w14:textFill>
        </w:rPr>
        <w:t>。</w:t>
      </w:r>
    </w:p>
    <w:p>
      <w:pPr>
        <w:pStyle w:val="17"/>
        <w:numPr>
          <w:ilvl w:val="0"/>
          <w:numId w:val="5"/>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认购人：</w:t>
      </w:r>
      <w:r>
        <w:rPr>
          <w:rFonts w:hint="eastAsia" w:ascii="宋体" w:hAnsi="宋体" w:cs="宋体"/>
          <w:bCs/>
          <w:color w:val="000000" w:themeColor="text1"/>
          <w:kern w:val="2"/>
          <w:highlight w:val="none"/>
          <w14:textFill>
            <w14:solidFill>
              <w14:schemeClr w14:val="tx1"/>
            </w14:solidFill>
          </w14:textFill>
        </w:rPr>
        <w:t>指在理财计划认购期间签署理财计划合同并向理财计划管理人交付认购资金的个人、机构投资者。</w:t>
      </w:r>
    </w:p>
    <w:p>
      <w:pPr>
        <w:pStyle w:val="17"/>
        <w:numPr>
          <w:ilvl w:val="0"/>
          <w:numId w:val="5"/>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理财计划份额持有人/持有人：</w:t>
      </w:r>
      <w:r>
        <w:rPr>
          <w:rFonts w:hint="eastAsia" w:ascii="宋体" w:hAnsi="宋体" w:cs="宋体"/>
          <w:bCs/>
          <w:color w:val="000000" w:themeColor="text1"/>
          <w:kern w:val="2"/>
          <w:highlight w:val="none"/>
          <w14:textFill>
            <w14:solidFill>
              <w14:schemeClr w14:val="tx1"/>
            </w14:solidFill>
          </w14:textFill>
        </w:rPr>
        <w:t>指认购/申购申请后，经过管理人确认成功后，从而持有理财计划份额的投资者。</w:t>
      </w:r>
    </w:p>
    <w:p>
      <w:pPr>
        <w:pStyle w:val="17"/>
        <w:numPr>
          <w:ilvl w:val="0"/>
          <w:numId w:val="5"/>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监管机构：</w:t>
      </w:r>
      <w:r>
        <w:rPr>
          <w:rFonts w:hint="eastAsia" w:ascii="宋体" w:hAnsi="宋体" w:cs="宋体"/>
          <w:bCs/>
          <w:color w:val="000000" w:themeColor="text1"/>
          <w:kern w:val="2"/>
          <w:highlight w:val="none"/>
          <w14:textFill>
            <w14:solidFill>
              <w14:schemeClr w14:val="tx1"/>
            </w14:solidFill>
          </w14:textFill>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000000" w:themeColor="text1"/>
          <w:kern w:val="2"/>
          <w:highlight w:val="none"/>
          <w:lang w:eastAsia="zh-CN"/>
          <w14:textFill>
            <w14:solidFill>
              <w14:schemeClr w14:val="tx1"/>
            </w14:solidFill>
          </w14:textFill>
        </w:rPr>
        <w:t>国家金融监督管理总局</w:t>
      </w:r>
      <w:r>
        <w:rPr>
          <w:rFonts w:hint="eastAsia" w:ascii="宋体" w:hAnsi="宋体" w:cs="宋体"/>
          <w:bCs/>
          <w:color w:val="000000" w:themeColor="text1"/>
          <w:kern w:val="2"/>
          <w:highlight w:val="none"/>
          <w14:textFill>
            <w14:solidFill>
              <w14:schemeClr w14:val="tx1"/>
            </w14:solidFill>
          </w14:textFill>
        </w:rPr>
        <w:t>、中国证券监督管理委员会、外汇管理局、银行业理财登记托管中心等。</w:t>
      </w:r>
    </w:p>
    <w:p>
      <w:pPr>
        <w:pStyle w:val="17"/>
        <w:numPr>
          <w:ilvl w:val="0"/>
          <w:numId w:val="4"/>
        </w:numPr>
        <w:adjustRightInd/>
        <w:spacing w:line="360" w:lineRule="auto"/>
        <w:ind w:firstLine="482" w:firstLineChars="200"/>
        <w:outlineLvl w:val="2"/>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法律文件用语</w:t>
      </w:r>
    </w:p>
    <w:p>
      <w:pPr>
        <w:pStyle w:val="17"/>
        <w:numPr>
          <w:ilvl w:val="0"/>
          <w:numId w:val="6"/>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理财计划说明书/产品说明书：</w:t>
      </w:r>
      <w:r>
        <w:rPr>
          <w:rFonts w:hint="eastAsia" w:ascii="宋体" w:hAnsi="宋体" w:cs="宋体"/>
          <w:bCs/>
          <w:color w:val="000000" w:themeColor="text1"/>
          <w:kern w:val="2"/>
          <w:highlight w:val="none"/>
          <w14:textFill>
            <w14:solidFill>
              <w14:schemeClr w14:val="tx1"/>
            </w14:solidFill>
          </w14:textFill>
        </w:rPr>
        <w:t>指《</w:t>
      </w:r>
      <w:r>
        <w:rPr>
          <w:rFonts w:hint="eastAsia" w:ascii="宋体" w:hAnsi="宋体" w:cs="宋体"/>
          <w:bCs/>
          <w:color w:val="000000" w:themeColor="text1"/>
          <w:kern w:val="2"/>
          <w:highlight w:val="none"/>
          <w:lang w:eastAsia="zh-CN"/>
          <w14:textFill>
            <w14:solidFill>
              <w14:schemeClr w14:val="tx1"/>
            </w14:solidFill>
          </w14:textFill>
        </w:rPr>
        <w:t>幸福99添益固收(稳盈存款存单策略)7天持有期理财</w:t>
      </w:r>
      <w:r>
        <w:rPr>
          <w:rFonts w:hint="eastAsia" w:ascii="宋体" w:hAnsi="宋体" w:cs="宋体"/>
          <w:bCs/>
          <w:color w:val="000000" w:themeColor="text1"/>
          <w:highlight w:val="none"/>
          <w14:textFill>
            <w14:solidFill>
              <w14:schemeClr w14:val="tx1"/>
            </w14:solidFill>
          </w14:textFill>
        </w:rPr>
        <w:t>产品说明书</w:t>
      </w:r>
      <w:r>
        <w:rPr>
          <w:rFonts w:hint="eastAsia" w:ascii="宋体" w:hAnsi="宋体" w:cs="宋体"/>
          <w:bCs/>
          <w:color w:val="000000" w:themeColor="text1"/>
          <w:kern w:val="2"/>
          <w:highlight w:val="none"/>
          <w14:textFill>
            <w14:solidFill>
              <w14:schemeClr w14:val="tx1"/>
            </w14:solidFill>
          </w14:textFill>
        </w:rPr>
        <w:t>》，以及对该文件的有效修改与补充。</w:t>
      </w:r>
    </w:p>
    <w:p>
      <w:pPr>
        <w:pStyle w:val="17"/>
        <w:numPr>
          <w:ilvl w:val="0"/>
          <w:numId w:val="6"/>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风险揭示书：</w:t>
      </w:r>
      <w:r>
        <w:rPr>
          <w:rFonts w:hint="eastAsia" w:ascii="宋体" w:hAnsi="宋体" w:cs="宋体"/>
          <w:bCs/>
          <w:color w:val="000000" w:themeColor="text1"/>
          <w:kern w:val="2"/>
          <w:highlight w:val="none"/>
          <w14:textFill>
            <w14:solidFill>
              <w14:schemeClr w14:val="tx1"/>
            </w14:solidFill>
          </w14:textFill>
        </w:rPr>
        <w:t>指作为</w:t>
      </w:r>
      <w:r>
        <w:rPr>
          <w:rFonts w:hint="eastAsia" w:ascii="宋体" w:hAnsi="宋体" w:cs="宋体"/>
          <w:bCs/>
          <w:color w:val="000000" w:themeColor="text1"/>
          <w:kern w:val="2"/>
          <w:highlight w:val="none"/>
          <w:lang w:eastAsia="zh-CN"/>
          <w14:textFill>
            <w14:solidFill>
              <w14:schemeClr w14:val="tx1"/>
            </w14:solidFill>
          </w14:textFill>
        </w:rPr>
        <w:t>幸福99添益固收(稳盈存款存单策略)7天持有期理财</w:t>
      </w:r>
      <w:r>
        <w:rPr>
          <w:rFonts w:hint="eastAsia" w:ascii="宋体" w:hAnsi="宋体" w:cs="宋体"/>
          <w:bCs/>
          <w:color w:val="000000" w:themeColor="text1"/>
          <w:highlight w:val="none"/>
          <w14:textFill>
            <w14:solidFill>
              <w14:schemeClr w14:val="tx1"/>
            </w14:solidFill>
          </w14:textFill>
        </w:rPr>
        <w:t>合同不可分割组成部分的风险揭示书，</w:t>
      </w:r>
      <w:r>
        <w:rPr>
          <w:rFonts w:hint="eastAsia" w:ascii="宋体" w:hAnsi="宋体" w:cs="宋体"/>
          <w:bCs/>
          <w:color w:val="000000" w:themeColor="text1"/>
          <w:kern w:val="2"/>
          <w:highlight w:val="none"/>
          <w14:textFill>
            <w14:solidFill>
              <w14:schemeClr w14:val="tx1"/>
            </w14:solidFill>
          </w14:textFill>
        </w:rPr>
        <w:t>以及对该文件的有效修改与补充。</w:t>
      </w:r>
    </w:p>
    <w:p>
      <w:pPr>
        <w:pStyle w:val="17"/>
        <w:numPr>
          <w:ilvl w:val="0"/>
          <w:numId w:val="6"/>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投资者权益须知：</w:t>
      </w:r>
      <w:r>
        <w:rPr>
          <w:rFonts w:hint="eastAsia" w:ascii="宋体" w:hAnsi="宋体" w:cs="宋体"/>
          <w:bCs/>
          <w:color w:val="000000" w:themeColor="text1"/>
          <w:kern w:val="2"/>
          <w:highlight w:val="none"/>
          <w14:textFill>
            <w14:solidFill>
              <w14:schemeClr w14:val="tx1"/>
            </w14:solidFill>
          </w14:textFill>
        </w:rPr>
        <w:t>指作为</w:t>
      </w:r>
      <w:r>
        <w:rPr>
          <w:rFonts w:hint="eastAsia" w:ascii="宋体" w:hAnsi="宋体" w:cs="宋体"/>
          <w:bCs/>
          <w:color w:val="000000" w:themeColor="text1"/>
          <w:kern w:val="2"/>
          <w:highlight w:val="none"/>
          <w:lang w:eastAsia="zh-CN"/>
          <w14:textFill>
            <w14:solidFill>
              <w14:schemeClr w14:val="tx1"/>
            </w14:solidFill>
          </w14:textFill>
        </w:rPr>
        <w:t>幸福99添益固收(稳盈存款存单策略)7天持有期理财</w:t>
      </w:r>
      <w:r>
        <w:rPr>
          <w:rFonts w:hint="eastAsia" w:ascii="宋体" w:hAnsi="宋体" w:cs="宋体"/>
          <w:bCs/>
          <w:color w:val="000000" w:themeColor="text1"/>
          <w:highlight w:val="none"/>
          <w14:textFill>
            <w14:solidFill>
              <w14:schemeClr w14:val="tx1"/>
            </w14:solidFill>
          </w14:textFill>
        </w:rPr>
        <w:t>合同不可分割组成部分的投资者权益须知，</w:t>
      </w:r>
      <w:r>
        <w:rPr>
          <w:rFonts w:hint="eastAsia" w:ascii="宋体" w:hAnsi="宋体" w:cs="宋体"/>
          <w:bCs/>
          <w:color w:val="000000" w:themeColor="text1"/>
          <w:kern w:val="2"/>
          <w:highlight w:val="none"/>
          <w14:textFill>
            <w14:solidFill>
              <w14:schemeClr w14:val="tx1"/>
            </w14:solidFill>
          </w14:textFill>
        </w:rPr>
        <w:t>以及对该文件的有效修改与补充。</w:t>
      </w:r>
    </w:p>
    <w:p>
      <w:pPr>
        <w:pStyle w:val="17"/>
        <w:numPr>
          <w:ilvl w:val="0"/>
          <w:numId w:val="6"/>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w:t>
      </w:r>
      <w:r>
        <w:rPr>
          <w:rFonts w:hint="eastAsia" w:ascii="宋体" w:hAnsi="宋体" w:cs="宋体"/>
          <w:b/>
          <w:color w:val="000000" w:themeColor="text1"/>
          <w:kern w:val="2"/>
          <w:highlight w:val="none"/>
          <w:lang w:val="en-US" w:eastAsia="zh-CN"/>
          <w14:textFill>
            <w14:solidFill>
              <w14:schemeClr w14:val="tx1"/>
            </w14:solidFill>
          </w14:textFill>
        </w:rPr>
        <w:t>计划</w:t>
      </w:r>
      <w:r>
        <w:rPr>
          <w:rFonts w:hint="eastAsia" w:ascii="宋体" w:hAnsi="宋体" w:cs="宋体"/>
          <w:b/>
          <w:color w:val="000000" w:themeColor="text1"/>
          <w:kern w:val="2"/>
          <w:highlight w:val="none"/>
          <w14:textFill>
            <w14:solidFill>
              <w14:schemeClr w14:val="tx1"/>
            </w14:solidFill>
          </w14:textFill>
        </w:rPr>
        <w:t>投资协议书：</w:t>
      </w:r>
      <w:r>
        <w:rPr>
          <w:rFonts w:hint="eastAsia" w:ascii="宋体" w:hAnsi="宋体" w:cs="宋体"/>
          <w:bCs/>
          <w:color w:val="000000" w:themeColor="text1"/>
          <w:kern w:val="2"/>
          <w:highlight w:val="none"/>
          <w14:textFill>
            <w14:solidFill>
              <w14:schemeClr w14:val="tx1"/>
            </w14:solidFill>
          </w14:textFill>
        </w:rPr>
        <w:t>指作为</w:t>
      </w:r>
      <w:r>
        <w:rPr>
          <w:rFonts w:hint="eastAsia" w:ascii="宋体" w:hAnsi="宋体" w:cs="宋体"/>
          <w:bCs/>
          <w:color w:val="000000" w:themeColor="text1"/>
          <w:kern w:val="2"/>
          <w:highlight w:val="none"/>
          <w:lang w:eastAsia="zh-CN"/>
          <w14:textFill>
            <w14:solidFill>
              <w14:schemeClr w14:val="tx1"/>
            </w14:solidFill>
          </w14:textFill>
        </w:rPr>
        <w:t>幸福99添益固收(稳盈存款存单策略)7天持有期理财</w:t>
      </w:r>
      <w:r>
        <w:rPr>
          <w:rFonts w:hint="eastAsia" w:ascii="宋体" w:hAnsi="宋体" w:cs="宋体"/>
          <w:bCs/>
          <w:color w:val="000000" w:themeColor="text1"/>
          <w:highlight w:val="none"/>
          <w14:textFill>
            <w14:solidFill>
              <w14:schemeClr w14:val="tx1"/>
            </w14:solidFill>
          </w14:textFill>
        </w:rPr>
        <w:t>合同不可分割组成部分的理财计划投资协议书，</w:t>
      </w:r>
      <w:r>
        <w:rPr>
          <w:rFonts w:hint="eastAsia" w:ascii="宋体" w:hAnsi="宋体" w:cs="宋体"/>
          <w:bCs/>
          <w:color w:val="000000" w:themeColor="text1"/>
          <w:kern w:val="2"/>
          <w:highlight w:val="none"/>
          <w14:textFill>
            <w14:solidFill>
              <w14:schemeClr w14:val="tx1"/>
            </w14:solidFill>
          </w14:textFill>
        </w:rPr>
        <w:t>以及对该文件的有效修改与补充。</w:t>
      </w:r>
    </w:p>
    <w:p>
      <w:pPr>
        <w:pStyle w:val="17"/>
        <w:numPr>
          <w:ilvl w:val="0"/>
          <w:numId w:val="6"/>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lang w:eastAsia="zh-CN"/>
          <w14:textFill>
            <w14:solidFill>
              <w14:schemeClr w14:val="tx1"/>
            </w14:solidFill>
          </w14:textFill>
        </w:rPr>
        <w:t>理财</w:t>
      </w:r>
      <w:r>
        <w:rPr>
          <w:rFonts w:hint="eastAsia" w:ascii="宋体" w:hAnsi="宋体" w:cs="宋体"/>
          <w:b/>
          <w:bCs w:val="0"/>
          <w:color w:val="000000" w:themeColor="text1"/>
          <w:kern w:val="2"/>
          <w:highlight w:val="none"/>
          <w:lang w:val="en-US" w:eastAsia="zh-CN"/>
          <w14:textFill>
            <w14:solidFill>
              <w14:schemeClr w14:val="tx1"/>
            </w14:solidFill>
          </w14:textFill>
        </w:rPr>
        <w:t>计划</w:t>
      </w:r>
      <w:r>
        <w:rPr>
          <w:rFonts w:hint="eastAsia" w:ascii="宋体" w:hAnsi="宋体" w:cs="宋体"/>
          <w:b/>
          <w:bCs w:val="0"/>
          <w:color w:val="000000" w:themeColor="text1"/>
          <w:kern w:val="2"/>
          <w:highlight w:val="none"/>
          <w:lang w:eastAsia="zh-CN"/>
          <w14:textFill>
            <w14:solidFill>
              <w14:schemeClr w14:val="tx1"/>
            </w14:solidFill>
          </w14:textFill>
        </w:rPr>
        <w:t>销售协议书：</w:t>
      </w:r>
      <w:r>
        <w:rPr>
          <w:rFonts w:hint="eastAsia" w:ascii="宋体" w:hAnsi="宋体" w:cs="宋体"/>
          <w:bCs/>
          <w:color w:val="000000" w:themeColor="text1"/>
          <w:kern w:val="2"/>
          <w:highlight w:val="none"/>
          <w:lang w:eastAsia="zh-CN"/>
          <w14:textFill>
            <w14:solidFill>
              <w14:schemeClr w14:val="tx1"/>
            </w14:solidFill>
          </w14:textFill>
        </w:rPr>
        <w:t>指作为幸福99添益固收(稳盈存款存单策略)7天持有期理财</w:t>
      </w:r>
      <w:r>
        <w:rPr>
          <w:rFonts w:hint="eastAsia" w:ascii="宋体" w:hAnsi="宋体" w:cs="宋体"/>
          <w:bCs/>
          <w:color w:val="000000" w:themeColor="text1"/>
          <w:kern w:val="2"/>
          <w:highlight w:val="none"/>
          <w:lang w:val="en-US" w:eastAsia="zh-CN"/>
          <w14:textFill>
            <w14:solidFill>
              <w14:schemeClr w14:val="tx1"/>
            </w14:solidFill>
          </w14:textFill>
        </w:rPr>
        <w:t>合同不可分割组成部分的理财计划销售协议书，以及对该文件的有效修改与补充。</w:t>
      </w:r>
    </w:p>
    <w:p>
      <w:pPr>
        <w:pStyle w:val="17"/>
        <w:numPr>
          <w:ilvl w:val="0"/>
          <w:numId w:val="6"/>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w:t>
      </w:r>
      <w:r>
        <w:rPr>
          <w:rFonts w:hint="eastAsia" w:ascii="宋体" w:hAnsi="宋体" w:cs="宋体"/>
          <w:b/>
          <w:color w:val="000000" w:themeColor="text1"/>
          <w:kern w:val="2"/>
          <w:highlight w:val="none"/>
          <w:lang w:val="en-US" w:eastAsia="zh-CN"/>
          <w14:textFill>
            <w14:solidFill>
              <w14:schemeClr w14:val="tx1"/>
            </w14:solidFill>
          </w14:textFill>
        </w:rPr>
        <w:t>计划</w:t>
      </w:r>
      <w:r>
        <w:rPr>
          <w:rFonts w:hint="eastAsia" w:ascii="宋体" w:hAnsi="宋体" w:cs="宋体"/>
          <w:b/>
          <w:color w:val="000000" w:themeColor="text1"/>
          <w:kern w:val="2"/>
          <w:highlight w:val="none"/>
          <w14:textFill>
            <w14:solidFill>
              <w14:schemeClr w14:val="tx1"/>
            </w14:solidFill>
          </w14:textFill>
        </w:rPr>
        <w:t>合同/销售文件：</w:t>
      </w:r>
      <w:r>
        <w:rPr>
          <w:rFonts w:hint="eastAsia" w:ascii="宋体" w:hAnsi="宋体" w:cs="宋体"/>
          <w:bCs/>
          <w:color w:val="000000" w:themeColor="text1"/>
          <w:kern w:val="2"/>
          <w:highlight w:val="none"/>
          <w14:textFill>
            <w14:solidFill>
              <w14:schemeClr w14:val="tx1"/>
            </w14:solidFill>
          </w14:textFill>
        </w:rPr>
        <w:t>指《理财</w:t>
      </w:r>
      <w:r>
        <w:rPr>
          <w:rFonts w:hint="eastAsia" w:ascii="宋体" w:hAnsi="宋体" w:cs="宋体"/>
          <w:bCs/>
          <w:color w:val="000000" w:themeColor="text1"/>
          <w:kern w:val="2"/>
          <w:highlight w:val="none"/>
          <w:lang w:val="en-US" w:eastAsia="zh-CN"/>
          <w14:textFill>
            <w14:solidFill>
              <w14:schemeClr w14:val="tx1"/>
            </w14:solidFill>
          </w14:textFill>
        </w:rPr>
        <w:t>计划</w:t>
      </w:r>
      <w:r>
        <w:rPr>
          <w:rFonts w:hint="eastAsia" w:ascii="宋体" w:hAnsi="宋体" w:cs="宋体"/>
          <w:bCs/>
          <w:color w:val="000000" w:themeColor="text1"/>
          <w:kern w:val="2"/>
          <w:highlight w:val="none"/>
          <w:lang w:eastAsia="zh-CN"/>
          <w14:textFill>
            <w14:solidFill>
              <w14:schemeClr w14:val="tx1"/>
            </w14:solidFill>
          </w14:textFill>
        </w:rPr>
        <w:t>风险揭示书</w:t>
      </w:r>
      <w:r>
        <w:rPr>
          <w:rFonts w:hint="eastAsia" w:ascii="宋体" w:hAnsi="宋体" w:cs="宋体"/>
          <w:bCs/>
          <w:color w:val="000000" w:themeColor="text1"/>
          <w:kern w:val="2"/>
          <w:highlight w:val="none"/>
          <w14:textFill>
            <w14:solidFill>
              <w14:schemeClr w14:val="tx1"/>
            </w14:solidFill>
          </w14:textFill>
        </w:rPr>
        <w:t>》《</w:t>
      </w:r>
      <w:r>
        <w:rPr>
          <w:rFonts w:hint="eastAsia" w:ascii="宋体" w:hAnsi="宋体" w:cs="宋体"/>
          <w:bCs/>
          <w:color w:val="000000" w:themeColor="text1"/>
          <w:kern w:val="2"/>
          <w:highlight w:val="none"/>
          <w:lang w:eastAsia="zh-CN"/>
          <w14:textFill>
            <w14:solidFill>
              <w14:schemeClr w14:val="tx1"/>
            </w14:solidFill>
          </w14:textFill>
        </w:rPr>
        <w:t>理财</w:t>
      </w:r>
      <w:r>
        <w:rPr>
          <w:rFonts w:hint="eastAsia" w:ascii="宋体" w:hAnsi="宋体" w:cs="宋体"/>
          <w:bCs/>
          <w:color w:val="000000" w:themeColor="text1"/>
          <w:kern w:val="2"/>
          <w:highlight w:val="none"/>
          <w:lang w:val="en-US" w:eastAsia="zh-CN"/>
          <w14:textFill>
            <w14:solidFill>
              <w14:schemeClr w14:val="tx1"/>
            </w14:solidFill>
          </w14:textFill>
        </w:rPr>
        <w:t>计划</w:t>
      </w:r>
      <w:r>
        <w:rPr>
          <w:rFonts w:hint="eastAsia" w:ascii="宋体" w:hAnsi="宋体" w:cs="宋体"/>
          <w:bCs/>
          <w:color w:val="000000" w:themeColor="text1"/>
          <w:kern w:val="2"/>
          <w:highlight w:val="none"/>
          <w:lang w:eastAsia="zh-CN"/>
          <w14:textFill>
            <w14:solidFill>
              <w14:schemeClr w14:val="tx1"/>
            </w14:solidFill>
          </w14:textFill>
        </w:rPr>
        <w:t>产品说明书</w:t>
      </w:r>
      <w:r>
        <w:rPr>
          <w:rFonts w:hint="eastAsia" w:ascii="宋体" w:hAnsi="宋体" w:cs="宋体"/>
          <w:bCs/>
          <w:color w:val="000000" w:themeColor="text1"/>
          <w:kern w:val="2"/>
          <w:highlight w:val="none"/>
          <w14:textFill>
            <w14:solidFill>
              <w14:schemeClr w14:val="tx1"/>
            </w14:solidFill>
          </w14:textFill>
        </w:rPr>
        <w:t>》《投资者权益须知》《理财</w:t>
      </w:r>
      <w:r>
        <w:rPr>
          <w:rFonts w:hint="eastAsia" w:ascii="宋体" w:hAnsi="宋体" w:cs="宋体"/>
          <w:bCs/>
          <w:color w:val="000000" w:themeColor="text1"/>
          <w:kern w:val="2"/>
          <w:highlight w:val="none"/>
          <w:lang w:val="en-US" w:eastAsia="zh-CN"/>
          <w14:textFill>
            <w14:solidFill>
              <w14:schemeClr w14:val="tx1"/>
            </w14:solidFill>
          </w14:textFill>
        </w:rPr>
        <w:t>计划</w:t>
      </w:r>
      <w:r>
        <w:rPr>
          <w:rFonts w:hint="eastAsia" w:ascii="宋体" w:hAnsi="宋体" w:cs="宋体"/>
          <w:bCs/>
          <w:color w:val="000000" w:themeColor="text1"/>
          <w:kern w:val="2"/>
          <w:highlight w:val="none"/>
          <w14:textFill>
            <w14:solidFill>
              <w14:schemeClr w14:val="tx1"/>
            </w14:solidFill>
          </w14:textFill>
        </w:rPr>
        <w:t>投资协议书》</w:t>
      </w:r>
      <w:r>
        <w:rPr>
          <w:rFonts w:hint="eastAsia" w:ascii="宋体" w:hAnsi="宋体" w:cs="宋体"/>
          <w:bCs/>
          <w:color w:val="000000" w:themeColor="text1"/>
          <w:kern w:val="2"/>
          <w:highlight w:val="none"/>
          <w:lang w:eastAsia="zh-CN"/>
          <w14:textFill>
            <w14:solidFill>
              <w14:schemeClr w14:val="tx1"/>
            </w14:solidFill>
          </w14:textFill>
        </w:rPr>
        <w:t>《理财</w:t>
      </w:r>
      <w:r>
        <w:rPr>
          <w:rFonts w:hint="eastAsia" w:ascii="宋体" w:hAnsi="宋体" w:cs="宋体"/>
          <w:bCs/>
          <w:color w:val="000000" w:themeColor="text1"/>
          <w:kern w:val="2"/>
          <w:highlight w:val="none"/>
          <w:lang w:val="en-US" w:eastAsia="zh-CN"/>
          <w14:textFill>
            <w14:solidFill>
              <w14:schemeClr w14:val="tx1"/>
            </w14:solidFill>
          </w14:textFill>
        </w:rPr>
        <w:t>计划</w:t>
      </w:r>
      <w:r>
        <w:rPr>
          <w:rFonts w:hint="eastAsia" w:ascii="宋体" w:hAnsi="宋体" w:cs="宋体"/>
          <w:bCs/>
          <w:color w:val="000000" w:themeColor="text1"/>
          <w:kern w:val="2"/>
          <w:highlight w:val="none"/>
          <w:lang w:eastAsia="zh-CN"/>
          <w14:textFill>
            <w14:solidFill>
              <w14:schemeClr w14:val="tx1"/>
            </w14:solidFill>
          </w14:textFill>
        </w:rPr>
        <w:t>销售协议书》五</w:t>
      </w:r>
      <w:r>
        <w:rPr>
          <w:rFonts w:hint="eastAsia" w:ascii="宋体" w:hAnsi="宋体" w:cs="宋体"/>
          <w:bCs/>
          <w:color w:val="000000" w:themeColor="text1"/>
          <w:kern w:val="2"/>
          <w:highlight w:val="none"/>
          <w14:textFill>
            <w14:solidFill>
              <w14:schemeClr w14:val="tx1"/>
            </w14:solidFill>
          </w14:textFill>
        </w:rPr>
        <w:t>个部分。</w:t>
      </w:r>
    </w:p>
    <w:p>
      <w:pPr>
        <w:pStyle w:val="17"/>
        <w:numPr>
          <w:ilvl w:val="0"/>
          <w:numId w:val="4"/>
        </w:numPr>
        <w:adjustRightInd/>
        <w:spacing w:line="360" w:lineRule="auto"/>
        <w:ind w:firstLine="482" w:firstLineChars="200"/>
        <w:outlineLvl w:val="2"/>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理财产品用语</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理财计划/理财产品/产品：</w:t>
      </w:r>
      <w:r>
        <w:rPr>
          <w:rFonts w:hint="eastAsia" w:ascii="宋体" w:hAnsi="宋体" w:cs="宋体"/>
          <w:bCs/>
          <w:color w:val="000000" w:themeColor="text1"/>
          <w:kern w:val="2"/>
          <w:highlight w:val="none"/>
          <w14:textFill>
            <w14:solidFill>
              <w14:schemeClr w14:val="tx1"/>
            </w14:solidFill>
          </w14:textFill>
        </w:rPr>
        <w:t>指</w:t>
      </w:r>
      <w:r>
        <w:rPr>
          <w:rFonts w:hint="eastAsia" w:ascii="宋体" w:hAnsi="宋体" w:cs="宋体"/>
          <w:bCs/>
          <w:color w:val="000000" w:themeColor="text1"/>
          <w:kern w:val="2"/>
          <w:highlight w:val="none"/>
          <w:lang w:eastAsia="zh-CN"/>
          <w14:textFill>
            <w14:solidFill>
              <w14:schemeClr w14:val="tx1"/>
            </w14:solidFill>
          </w14:textFill>
        </w:rPr>
        <w:t>幸福99添益固收(稳盈存款存单策略)7天持有期理财</w:t>
      </w:r>
      <w:r>
        <w:rPr>
          <w:rFonts w:hint="eastAsia" w:ascii="宋体" w:hAnsi="宋体" w:cs="宋体"/>
          <w:bCs/>
          <w:color w:val="000000" w:themeColor="text1"/>
          <w:highlight w:val="none"/>
          <w14:textFill>
            <w14:solidFill>
              <w14:schemeClr w14:val="tx1"/>
            </w14:solidFill>
          </w14:textFill>
        </w:rPr>
        <w:t>。</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理财计划份额/产品份额：</w:t>
      </w:r>
      <w:r>
        <w:rPr>
          <w:rFonts w:hint="eastAsia" w:ascii="宋体" w:hAnsi="宋体" w:cs="宋体"/>
          <w:bCs/>
          <w:color w:val="000000" w:themeColor="text1"/>
          <w:highlight w:val="none"/>
          <w14:textFill>
            <w14:solidFill>
              <w14:schemeClr w14:val="tx1"/>
            </w14:solidFill>
          </w14:textFill>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理财计划份额净值/产品份额净值：</w:t>
      </w:r>
      <w:r>
        <w:rPr>
          <w:rFonts w:hint="eastAsia" w:ascii="宋体" w:hAnsi="宋体" w:cs="宋体"/>
          <w:bCs/>
          <w:color w:val="000000" w:themeColor="text1"/>
          <w:highlight w:val="none"/>
          <w14:textFill>
            <w14:solidFill>
              <w14:schemeClr w14:val="tx1"/>
            </w14:solidFill>
          </w14:textFill>
        </w:rPr>
        <w:t>指理财计划份额的单位净值，即每1份理财计划份额以人民币或外币（以产品说明书交易币种为准）计价的价格。</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理财计划份额累计净值/产品份额累计净值：</w:t>
      </w:r>
      <w:r>
        <w:rPr>
          <w:rFonts w:hint="eastAsia" w:ascii="宋体" w:hAnsi="宋体" w:cs="宋体"/>
          <w:bCs/>
          <w:color w:val="000000" w:themeColor="text1"/>
          <w:highlight w:val="none"/>
          <w14:textFill>
            <w14:solidFill>
              <w14:schemeClr w14:val="tx1"/>
            </w14:solidFill>
          </w14:textFill>
        </w:rPr>
        <w:t>指理财计划份额的单位净值与理财计划成立后历次累计单位收益分配的总和。</w:t>
      </w:r>
    </w:p>
    <w:p>
      <w:pPr>
        <w:pStyle w:val="17"/>
        <w:numPr>
          <w:ilvl w:val="0"/>
          <w:numId w:val="7"/>
        </w:numPr>
        <w:adjustRightInd/>
        <w:spacing w:line="360" w:lineRule="auto"/>
        <w:ind w:firstLine="48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工作日：</w:t>
      </w:r>
      <w:r>
        <w:rPr>
          <w:rFonts w:hint="eastAsia" w:ascii="宋体" w:hAnsi="宋体" w:cs="宋体"/>
          <w:bCs/>
          <w:color w:val="000000" w:themeColor="text1"/>
          <w:highlight w:val="none"/>
          <w14:textFill>
            <w14:solidFill>
              <w14:schemeClr w14:val="tx1"/>
            </w14:solidFill>
          </w14:textFill>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交易日：</w:t>
      </w:r>
      <w:r>
        <w:rPr>
          <w:rFonts w:hint="eastAsia" w:ascii="宋体" w:hAnsi="宋体" w:cs="宋体"/>
          <w:bCs/>
          <w:color w:val="000000" w:themeColor="text1"/>
          <w:highlight w:val="none"/>
          <w14:textFill>
            <w14:solidFill>
              <w14:schemeClr w14:val="tx1"/>
            </w14:solidFill>
          </w14:textFill>
        </w:rPr>
        <w:t>指上海证券交易所、深圳证券交易所的正常交易日</w:t>
      </w:r>
      <w:r>
        <w:rPr>
          <w:rFonts w:hint="eastAsia" w:ascii="宋体" w:hAnsi="宋体" w:cs="宋体"/>
          <w:bCs/>
          <w:color w:val="000000" w:themeColor="text1"/>
          <w:highlight w:val="none"/>
          <w:lang w:val="en-US" w:eastAsia="zh-CN"/>
          <w14:textFill>
            <w14:solidFill>
              <w14:schemeClr w14:val="tx1"/>
            </w14:solidFill>
          </w14:textFill>
        </w:rPr>
        <w:t>。如涉及到监管条例部分，统一以监管条例表述替代。</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成立日：</w:t>
      </w:r>
      <w:r>
        <w:rPr>
          <w:rFonts w:hint="eastAsia" w:ascii="宋体" w:hAnsi="宋体" w:cs="宋体"/>
          <w:bCs/>
          <w:color w:val="000000" w:themeColor="text1"/>
          <w:highlight w:val="none"/>
          <w14:textFill>
            <w14:solidFill>
              <w14:schemeClr w14:val="tx1"/>
            </w14:solidFill>
          </w14:textFill>
        </w:rPr>
        <w:t>指理财计划完成首次募集发行后正式成立运作日。</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认购期：</w:t>
      </w:r>
      <w:r>
        <w:rPr>
          <w:rFonts w:hint="eastAsia" w:ascii="宋体" w:hAnsi="宋体" w:cs="宋体"/>
          <w:bCs/>
          <w:color w:val="000000" w:themeColor="text1"/>
          <w:kern w:val="2"/>
          <w:highlight w:val="none"/>
          <w14:textFill>
            <w14:solidFill>
              <w14:schemeClr w14:val="tx1"/>
            </w14:solidFill>
          </w14:textFill>
        </w:rPr>
        <w:t>指理财计划成立前，理财计划管理人接受理财计划认购的时间。</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封闭期：</w:t>
      </w:r>
      <w:r>
        <w:rPr>
          <w:rFonts w:hint="eastAsia" w:ascii="宋体" w:hAnsi="宋体" w:cs="宋体"/>
          <w:bCs/>
          <w:color w:val="000000" w:themeColor="text1"/>
          <w:kern w:val="2"/>
          <w:highlight w:val="none"/>
          <w14:textFill>
            <w14:solidFill>
              <w14:schemeClr w14:val="tx1"/>
            </w14:solidFill>
          </w14:textFill>
        </w:rPr>
        <w:t>指理财</w:t>
      </w:r>
      <w:r>
        <w:rPr>
          <w:rFonts w:hint="eastAsia" w:ascii="宋体" w:hAnsi="宋体" w:cs="宋体"/>
          <w:bCs/>
          <w:color w:val="000000" w:themeColor="text1"/>
          <w:kern w:val="2"/>
          <w:highlight w:val="none"/>
          <w:lang w:eastAsia="zh-CN"/>
          <w14:textFill>
            <w14:solidFill>
              <w14:schemeClr w14:val="tx1"/>
            </w14:solidFill>
          </w14:textFill>
        </w:rPr>
        <w:t>计划</w:t>
      </w:r>
      <w:r>
        <w:rPr>
          <w:rFonts w:hint="eastAsia" w:ascii="宋体" w:hAnsi="宋体" w:cs="宋体"/>
          <w:bCs/>
          <w:color w:val="000000" w:themeColor="text1"/>
          <w:kern w:val="2"/>
          <w:highlight w:val="none"/>
          <w14:textFill>
            <w14:solidFill>
              <w14:schemeClr w14:val="tx1"/>
            </w14:solidFill>
          </w14:textFill>
        </w:rPr>
        <w:t>成立后，理财计划不接受投资者申购赎回的时间。</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建仓期：</w:t>
      </w:r>
      <w:r>
        <w:rPr>
          <w:rFonts w:hint="eastAsia" w:ascii="宋体" w:hAnsi="宋体" w:cs="宋体"/>
          <w:bCs/>
          <w:color w:val="000000" w:themeColor="text1"/>
          <w:kern w:val="2"/>
          <w:highlight w:val="none"/>
          <w14:textFill>
            <w14:solidFill>
              <w14:schemeClr w14:val="tx1"/>
            </w14:solidFill>
          </w14:textFill>
        </w:rPr>
        <w:t>指理财计划成立后，在一定期限内投资比例无法满足本理财计划约定的投资比例要求。</w:t>
      </w:r>
    </w:p>
    <w:p>
      <w:pPr>
        <w:pStyle w:val="17"/>
        <w:numPr>
          <w:ilvl w:val="0"/>
          <w:numId w:val="7"/>
        </w:numPr>
        <w:adjustRightInd/>
        <w:spacing w:line="360" w:lineRule="auto"/>
        <w:ind w:firstLine="482" w:firstLineChars="200"/>
        <w:rPr>
          <w:rFonts w:hint="eastAsia" w:ascii="宋体" w:hAnsi="宋体" w:cs="宋体"/>
          <w:b/>
          <w:bCs w:val="0"/>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lang w:val="en-US" w:eastAsia="zh-CN"/>
          <w14:textFill>
            <w14:solidFill>
              <w14:schemeClr w14:val="tx1"/>
            </w14:solidFill>
          </w14:textFill>
        </w:rPr>
        <w:t>持有期：</w:t>
      </w:r>
      <w:r>
        <w:rPr>
          <w:rFonts w:hint="eastAsia" w:ascii="宋体" w:hAnsi="宋体" w:cs="宋体"/>
          <w:b w:val="0"/>
          <w:bCs/>
          <w:color w:val="000000" w:themeColor="text1"/>
          <w:kern w:val="2"/>
          <w:highlight w:val="none"/>
          <w:lang w:eastAsia="zh-CN"/>
          <w14:textFill>
            <w14:solidFill>
              <w14:schemeClr w14:val="tx1"/>
            </w14:solidFill>
          </w14:textFill>
        </w:rPr>
        <w:t>指投资者认购或申购后，需</w:t>
      </w:r>
      <w:r>
        <w:rPr>
          <w:rFonts w:hint="eastAsia" w:ascii="宋体" w:hAnsi="宋体" w:cs="宋体"/>
          <w:bCs/>
          <w:color w:val="000000" w:themeColor="text1"/>
          <w:kern w:val="2"/>
          <w:highlight w:val="none"/>
          <w14:textFill>
            <w14:solidFill>
              <w14:schemeClr w14:val="tx1"/>
            </w14:solidFill>
          </w14:textFill>
        </w:rPr>
        <w:t>持有固定期限后才可进行赎回。</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到期日：</w:t>
      </w:r>
      <w:r>
        <w:rPr>
          <w:rFonts w:hint="eastAsia" w:ascii="宋体" w:hAnsi="宋体" w:cs="宋体"/>
          <w:bCs/>
          <w:color w:val="000000" w:themeColor="text1"/>
          <w:kern w:val="2"/>
          <w:highlight w:val="none"/>
          <w14:textFill>
            <w14:solidFill>
              <w14:schemeClr w14:val="tx1"/>
            </w14:solidFill>
          </w14:textFill>
        </w:rPr>
        <w:t>指理财计划终止运作的日期。</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收益分配基准日：</w:t>
      </w:r>
      <w:r>
        <w:rPr>
          <w:rFonts w:hint="eastAsia" w:ascii="宋体" w:hAnsi="宋体" w:cs="宋体"/>
          <w:bCs/>
          <w:color w:val="000000" w:themeColor="text1"/>
          <w:kern w:val="2"/>
          <w:highlight w:val="none"/>
          <w14:textFill>
            <w14:solidFill>
              <w14:schemeClr w14:val="tx1"/>
            </w14:solidFill>
          </w14:textFill>
        </w:rPr>
        <w:t>指理财计划进行收益分配时用以确认分配收益金额的最终确认日期。</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节假日临时调整：</w:t>
      </w:r>
      <w:r>
        <w:rPr>
          <w:rFonts w:hint="eastAsia" w:ascii="宋体" w:hAnsi="宋体" w:cs="宋体"/>
          <w:bCs/>
          <w:color w:val="000000" w:themeColor="text1"/>
          <w:kern w:val="2"/>
          <w:highlight w:val="none"/>
          <w14:textFill>
            <w14:solidFill>
              <w14:schemeClr w14:val="tx1"/>
            </w14:solidFill>
          </w14:textFill>
        </w:rPr>
        <w:t>如因国家相关主管部门临时调整节假日安排，导致原定成立日、到期日、估值日、申购和赎回开放期等日期安排发生变化的，原则上采用顺延方式对原定日期进行调整，如有特殊安排，以管理人对外披露的公告为准。</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提前终止权：</w:t>
      </w:r>
      <w:r>
        <w:rPr>
          <w:rFonts w:hint="eastAsia" w:ascii="宋体" w:hAnsi="宋体" w:cs="宋体"/>
          <w:bCs/>
          <w:color w:val="000000" w:themeColor="text1"/>
          <w:highlight w:val="none"/>
          <w14:textFill>
            <w14:solidFill>
              <w14:schemeClr w14:val="tx1"/>
            </w14:solidFill>
          </w14:textFill>
        </w:rPr>
        <w:t>指在本理财计划存续期内，管理人单方面决定全部提前终止本理财计划的权利。</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提前终止日：</w:t>
      </w:r>
      <w:r>
        <w:rPr>
          <w:rFonts w:hint="eastAsia" w:ascii="宋体" w:hAnsi="宋体" w:cs="宋体"/>
          <w:bCs/>
          <w:color w:val="000000" w:themeColor="text1"/>
          <w:kern w:val="2"/>
          <w:highlight w:val="none"/>
          <w14:textFill>
            <w14:solidFill>
              <w14:schemeClr w14:val="tx1"/>
            </w14:solidFill>
          </w14:textFill>
        </w:rPr>
        <w:t>指</w:t>
      </w:r>
      <w:r>
        <w:rPr>
          <w:rFonts w:hint="eastAsia" w:ascii="宋体" w:hAnsi="宋体" w:cs="宋体"/>
          <w:bCs/>
          <w:color w:val="000000" w:themeColor="text1"/>
          <w:highlight w:val="none"/>
          <w14:textFill>
            <w14:solidFill>
              <w14:schemeClr w14:val="tx1"/>
            </w14:solidFill>
          </w14:textFill>
        </w:rPr>
        <w:t>管理人行使提前终止权的日期，即本理财计划被提前终止、开始停止计算收益的日期。</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资金到账日：</w:t>
      </w:r>
      <w:r>
        <w:rPr>
          <w:rFonts w:hint="eastAsia" w:ascii="宋体" w:hAnsi="宋体" w:cs="宋体"/>
          <w:bCs/>
          <w:color w:val="000000" w:themeColor="text1"/>
          <w:highlight w:val="none"/>
          <w14:textFill>
            <w14:solidFill>
              <w14:schemeClr w14:val="tx1"/>
            </w14:solidFill>
          </w14:textFill>
        </w:rPr>
        <w:t>指理财计划终止运作后，资金返还至投资者账户的日期。</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开放日：</w:t>
      </w:r>
      <w:r>
        <w:rPr>
          <w:rFonts w:hint="eastAsia" w:ascii="宋体" w:hAnsi="宋体" w:cs="宋体"/>
          <w:bCs/>
          <w:color w:val="000000" w:themeColor="text1"/>
          <w:kern w:val="2"/>
          <w:highlight w:val="none"/>
          <w14:textFill>
            <w14:solidFill>
              <w14:schemeClr w14:val="tx1"/>
            </w14:solidFill>
          </w14:textFill>
        </w:rPr>
        <w:t>指为投资者办理申购、赎回交易的日期。</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开放期：</w:t>
      </w:r>
      <w:r>
        <w:rPr>
          <w:rFonts w:hint="eastAsia" w:ascii="宋体" w:hAnsi="宋体" w:cs="宋体"/>
          <w:bCs/>
          <w:color w:val="000000" w:themeColor="text1"/>
          <w:highlight w:val="none"/>
          <w14:textFill>
            <w14:solidFill>
              <w14:schemeClr w14:val="tx1"/>
            </w14:solidFill>
          </w14:textFill>
        </w:rPr>
        <w:t>指管理人向投资者提供申购</w:t>
      </w:r>
      <w:r>
        <w:rPr>
          <w:rFonts w:hint="eastAsia" w:ascii="宋体" w:hAnsi="宋体" w:cs="宋体"/>
          <w:bCs/>
          <w:color w:val="000000" w:themeColor="text1"/>
          <w:highlight w:val="none"/>
          <w:lang w:eastAsia="zh-CN"/>
          <w14:textFill>
            <w14:solidFill>
              <w14:schemeClr w14:val="tx1"/>
            </w14:solidFill>
          </w14:textFill>
        </w:rPr>
        <w:t>、</w:t>
      </w:r>
      <w:r>
        <w:rPr>
          <w:rFonts w:hint="eastAsia" w:ascii="宋体" w:hAnsi="宋体" w:cs="宋体"/>
          <w:bCs/>
          <w:color w:val="000000" w:themeColor="text1"/>
          <w:highlight w:val="none"/>
          <w:lang w:val="en-US" w:eastAsia="zh-CN"/>
          <w14:textFill>
            <w14:solidFill>
              <w14:schemeClr w14:val="tx1"/>
            </w14:solidFill>
          </w14:textFill>
        </w:rPr>
        <w:t>赎回</w:t>
      </w:r>
      <w:r>
        <w:rPr>
          <w:rFonts w:hint="eastAsia" w:ascii="宋体" w:hAnsi="宋体" w:cs="宋体"/>
          <w:bCs/>
          <w:color w:val="000000" w:themeColor="text1"/>
          <w:highlight w:val="none"/>
          <w14:textFill>
            <w14:solidFill>
              <w14:schemeClr w14:val="tx1"/>
            </w14:solidFill>
          </w14:textFill>
        </w:rPr>
        <w:t>交易的时间。</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确认日：</w:t>
      </w:r>
      <w:r>
        <w:rPr>
          <w:rFonts w:hint="eastAsia" w:ascii="宋体" w:hAnsi="宋体" w:cs="宋体"/>
          <w:bCs/>
          <w:color w:val="000000" w:themeColor="text1"/>
          <w:kern w:val="2"/>
          <w:highlight w:val="none"/>
          <w14:textFill>
            <w14:solidFill>
              <w14:schemeClr w14:val="tx1"/>
            </w14:solidFill>
          </w14:textFill>
        </w:rPr>
        <w:t>指管理人确认投资者申购</w:t>
      </w:r>
      <w:r>
        <w:rPr>
          <w:rFonts w:hint="eastAsia" w:ascii="宋体" w:hAnsi="宋体" w:cs="宋体"/>
          <w:bCs/>
          <w:color w:val="000000" w:themeColor="text1"/>
          <w:kern w:val="2"/>
          <w:highlight w:val="none"/>
          <w:lang w:eastAsia="zh-CN"/>
          <w14:textFill>
            <w14:solidFill>
              <w14:schemeClr w14:val="tx1"/>
            </w14:solidFill>
          </w14:textFill>
        </w:rPr>
        <w:t>、</w:t>
      </w:r>
      <w:r>
        <w:rPr>
          <w:rFonts w:hint="eastAsia" w:ascii="宋体" w:hAnsi="宋体" w:cs="宋体"/>
          <w:bCs/>
          <w:color w:val="000000" w:themeColor="text1"/>
          <w:kern w:val="2"/>
          <w:highlight w:val="none"/>
          <w:lang w:val="en-US" w:eastAsia="zh-CN"/>
          <w14:textFill>
            <w14:solidFill>
              <w14:schemeClr w14:val="tx1"/>
            </w14:solidFill>
          </w14:textFill>
        </w:rPr>
        <w:t>赎回</w:t>
      </w:r>
      <w:r>
        <w:rPr>
          <w:rFonts w:hint="eastAsia" w:ascii="宋体" w:hAnsi="宋体" w:cs="宋体"/>
          <w:bCs/>
          <w:color w:val="000000" w:themeColor="text1"/>
          <w:kern w:val="2"/>
          <w:highlight w:val="none"/>
          <w14:textFill>
            <w14:solidFill>
              <w14:schemeClr w14:val="tx1"/>
            </w14:solidFill>
          </w14:textFill>
        </w:rPr>
        <w:t>交易是否有效的日期。</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认购：</w:t>
      </w:r>
      <w:r>
        <w:rPr>
          <w:rFonts w:hint="eastAsia" w:ascii="宋体" w:hAnsi="宋体" w:cs="宋体"/>
          <w:bCs/>
          <w:color w:val="000000" w:themeColor="text1"/>
          <w:kern w:val="2"/>
          <w:highlight w:val="none"/>
          <w14:textFill>
            <w14:solidFill>
              <w14:schemeClr w14:val="tx1"/>
            </w14:solidFill>
          </w14:textFill>
        </w:rPr>
        <w:t>指投资者根据理财计划约定申请购买本理财计划份额的行为。</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申购：</w:t>
      </w:r>
      <w:r>
        <w:rPr>
          <w:rFonts w:hint="eastAsia" w:ascii="宋体" w:hAnsi="宋体" w:cs="宋体"/>
          <w:bCs/>
          <w:color w:val="000000" w:themeColor="text1"/>
          <w:kern w:val="2"/>
          <w:highlight w:val="none"/>
          <w14:textFill>
            <w14:solidFill>
              <w14:schemeClr w14:val="tx1"/>
            </w14:solidFill>
          </w14:textFill>
        </w:rPr>
        <w:t>指理财计划申购开放期内，投资者向管理人进行理财计划份额购买的行为。</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赎回：</w:t>
      </w:r>
      <w:r>
        <w:rPr>
          <w:rFonts w:hint="eastAsia" w:ascii="宋体" w:hAnsi="宋体" w:cs="宋体"/>
          <w:bCs/>
          <w:color w:val="000000" w:themeColor="text1"/>
          <w:kern w:val="2"/>
          <w:highlight w:val="none"/>
          <w14:textFill>
            <w14:solidFill>
              <w14:schemeClr w14:val="tx1"/>
            </w14:solidFill>
          </w14:textFill>
        </w:rPr>
        <w:t>指理财计划</w:t>
      </w:r>
      <w:r>
        <w:rPr>
          <w:rFonts w:hint="eastAsia" w:ascii="宋体" w:hAnsi="宋体" w:cs="宋体"/>
          <w:bCs/>
          <w:color w:val="000000" w:themeColor="text1"/>
          <w:kern w:val="2"/>
          <w:highlight w:val="none"/>
          <w:lang w:eastAsia="zh-CN"/>
          <w14:textFill>
            <w14:solidFill>
              <w14:schemeClr w14:val="tx1"/>
            </w14:solidFill>
          </w14:textFill>
        </w:rPr>
        <w:t>赎回</w:t>
      </w:r>
      <w:r>
        <w:rPr>
          <w:rFonts w:hint="eastAsia" w:ascii="宋体" w:hAnsi="宋体" w:cs="宋体"/>
          <w:bCs/>
          <w:color w:val="000000" w:themeColor="text1"/>
          <w:kern w:val="2"/>
          <w:highlight w:val="none"/>
          <w14:textFill>
            <w14:solidFill>
              <w14:schemeClr w14:val="tx1"/>
            </w14:solidFill>
          </w14:textFill>
        </w:rPr>
        <w:t>开放期内，投资者向管理人进行理财计划份额卖出的行为。</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收益分配：</w:t>
      </w:r>
      <w:r>
        <w:rPr>
          <w:rFonts w:hint="eastAsia" w:ascii="宋体" w:hAnsi="宋体" w:cs="宋体"/>
          <w:bCs/>
          <w:color w:val="000000" w:themeColor="text1"/>
          <w:kern w:val="2"/>
          <w:highlight w:val="none"/>
          <w14:textFill>
            <w14:solidFill>
              <w14:schemeClr w14:val="tx1"/>
            </w14:solidFill>
          </w14:textFill>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理财计划费用/产品费用：</w:t>
      </w:r>
      <w:r>
        <w:rPr>
          <w:rFonts w:hint="eastAsia" w:ascii="宋体" w:hAnsi="宋体" w:cs="宋体"/>
          <w:bCs/>
          <w:color w:val="000000" w:themeColor="text1"/>
          <w:highlight w:val="none"/>
          <w14:textFill>
            <w14:solidFill>
              <w14:schemeClr w14:val="tx1"/>
            </w14:solidFill>
          </w14:textFill>
        </w:rPr>
        <w:t>指管理人为成立理财计划及处理理财计划事务而支出的所有费用，包括但不限于管理人收取的固定管理费、浮动管理费、</w:t>
      </w:r>
      <w:r>
        <w:rPr>
          <w:rFonts w:hint="eastAsia" w:ascii="宋体" w:hAnsi="宋体" w:cs="宋体"/>
          <w:bCs/>
          <w:color w:val="000000" w:themeColor="text1"/>
          <w:highlight w:val="none"/>
          <w:lang w:eastAsia="zh-CN"/>
          <w14:textFill>
            <w14:solidFill>
              <w14:schemeClr w14:val="tx1"/>
            </w14:solidFill>
          </w14:textFill>
        </w:rPr>
        <w:t>销售服务费</w:t>
      </w:r>
      <w:r>
        <w:rPr>
          <w:rFonts w:hint="eastAsia" w:ascii="宋体" w:hAnsi="宋体" w:cs="宋体"/>
          <w:bCs/>
          <w:color w:val="000000" w:themeColor="text1"/>
          <w:highlight w:val="none"/>
          <w14:textFill>
            <w14:solidFill>
              <w14:schemeClr w14:val="tx1"/>
            </w14:solidFill>
          </w14:textFill>
        </w:rPr>
        <w:t>、托管人收取的托管费、交易费用、执行费用等相关费用，具体以</w:t>
      </w:r>
      <w:r>
        <w:rPr>
          <w:rFonts w:hint="eastAsia" w:ascii="宋体" w:hAnsi="宋体" w:cs="宋体"/>
          <w:bCs/>
          <w:color w:val="000000" w:themeColor="text1"/>
          <w:highlight w:val="none"/>
          <w:lang w:eastAsia="zh-CN"/>
          <w14:textFill>
            <w14:solidFill>
              <w14:schemeClr w14:val="tx1"/>
            </w14:solidFill>
          </w14:textFill>
        </w:rPr>
        <w:t>实际发生</w:t>
      </w:r>
      <w:r>
        <w:rPr>
          <w:rFonts w:hint="eastAsia" w:ascii="宋体" w:hAnsi="宋体" w:cs="宋体"/>
          <w:bCs/>
          <w:color w:val="000000" w:themeColor="text1"/>
          <w:highlight w:val="none"/>
          <w14:textFill>
            <w14:solidFill>
              <w14:schemeClr w14:val="tx1"/>
            </w14:solidFill>
          </w14:textFill>
        </w:rPr>
        <w:t>为准。</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bCs w:val="0"/>
          <w:color w:val="000000" w:themeColor="text1"/>
          <w:highlight w:val="none"/>
          <w:lang w:eastAsia="zh-CN"/>
          <w14:textFill>
            <w14:solidFill>
              <w14:schemeClr w14:val="tx1"/>
            </w14:solidFill>
          </w14:textFill>
        </w:rPr>
        <w:t>其他费用：</w:t>
      </w:r>
      <w:r>
        <w:rPr>
          <w:rFonts w:hint="eastAsia" w:ascii="宋体" w:hAnsi="宋体" w:cs="宋体"/>
          <w:b w:val="0"/>
          <w:bCs/>
          <w:color w:val="000000" w:themeColor="text1"/>
          <w:highlight w:val="none"/>
          <w:lang w:eastAsia="zh-CN"/>
          <w14:textFill>
            <w14:solidFill>
              <w14:schemeClr w14:val="tx1"/>
            </w14:solidFill>
          </w14:textFill>
        </w:rPr>
        <w:t>指除理财计划费用以外，理财计划涉及的其他相关费用，包括但不限于认购费、申购费、赎回费、投顾费等，具体以</w:t>
      </w:r>
      <w:r>
        <w:rPr>
          <w:rFonts w:hint="eastAsia" w:ascii="宋体" w:hAnsi="宋体" w:cs="宋体"/>
          <w:bCs/>
          <w:color w:val="000000" w:themeColor="text1"/>
          <w:highlight w:val="none"/>
          <w14:textFill>
            <w14:solidFill>
              <w14:schemeClr w14:val="tx1"/>
            </w14:solidFill>
          </w14:textFill>
        </w:rPr>
        <w:t>本说明书第八条约定</w:t>
      </w:r>
      <w:r>
        <w:rPr>
          <w:rFonts w:hint="eastAsia" w:ascii="宋体" w:hAnsi="宋体" w:cs="宋体"/>
          <w:b w:val="0"/>
          <w:bCs/>
          <w:color w:val="000000" w:themeColor="text1"/>
          <w:highlight w:val="none"/>
          <w:lang w:eastAsia="zh-CN"/>
          <w14:textFill>
            <w14:solidFill>
              <w14:schemeClr w14:val="tx1"/>
            </w14:solidFill>
          </w14:textFill>
        </w:rPr>
        <w:t>为准。</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理财计划估值：</w:t>
      </w:r>
      <w:r>
        <w:rPr>
          <w:rFonts w:hint="eastAsia" w:ascii="宋体" w:hAnsi="宋体" w:cs="宋体"/>
          <w:bCs/>
          <w:color w:val="000000" w:themeColor="text1"/>
          <w:highlight w:val="none"/>
          <w14:textFill>
            <w14:solidFill>
              <w14:schemeClr w14:val="tx1"/>
            </w14:solidFill>
          </w14:textFill>
        </w:rPr>
        <w:t>指计算评估理财计划资产以确定理财计划份额净值的过程。</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理财业绩比较基准：</w:t>
      </w:r>
      <w:r>
        <w:rPr>
          <w:rFonts w:hint="eastAsia" w:ascii="宋体" w:hAnsi="宋体" w:cs="宋体"/>
          <w:bCs/>
          <w:color w:val="000000" w:themeColor="text1"/>
          <w:kern w:val="2"/>
          <w:highlight w:val="none"/>
          <w14:textFill>
            <w14:solidFill>
              <w14:schemeClr w14:val="tx1"/>
            </w14:solidFill>
          </w14:textFill>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指定账户：</w:t>
      </w:r>
      <w:r>
        <w:rPr>
          <w:rFonts w:hint="eastAsia" w:ascii="宋体" w:hAnsi="宋体" w:cs="宋体"/>
          <w:bCs/>
          <w:color w:val="000000" w:themeColor="text1"/>
          <w:kern w:val="2"/>
          <w:highlight w:val="none"/>
          <w14:textFill>
            <w14:solidFill>
              <w14:schemeClr w14:val="tx1"/>
            </w14:solidFill>
          </w14:textFill>
        </w:rPr>
        <w:t>指投资者开立的，在理财计划认/申购时指定扣划本金、返还本金或收益的银行账户。</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lang w:eastAsia="zh-CN"/>
          <w14:textFill>
            <w14:solidFill>
              <w14:schemeClr w14:val="tx1"/>
            </w14:solidFill>
          </w14:textFill>
        </w:rPr>
        <w:t>流</w:t>
      </w:r>
      <w:r>
        <w:rPr>
          <w:rFonts w:hint="eastAsia"/>
          <w:b/>
          <w:bCs w:val="0"/>
          <w:color w:val="000000" w:themeColor="text1"/>
          <w:highlight w:val="none"/>
          <w:lang w:val="en-US" w:eastAsia="zh-CN"/>
          <w14:textFill>
            <w14:solidFill>
              <w14:schemeClr w14:val="tx1"/>
            </w14:solidFill>
          </w14:textFill>
        </w:rPr>
        <w:t>动性受限资产：</w:t>
      </w:r>
      <w:r>
        <w:rPr>
          <w:rFonts w:hint="eastAsia"/>
          <w:color w:val="000000" w:themeColor="text1"/>
          <w:highlight w:val="none"/>
          <w:lang w:val="en-US" w:eastAsia="zh-CN"/>
          <w14:textFill>
            <w14:solidFill>
              <w14:schemeClr w14:val="tx1"/>
            </w14:solidFill>
          </w14:textFill>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7个工作日可变现资产：</w:t>
      </w:r>
      <w:r>
        <w:rPr>
          <w:rFonts w:hint="eastAsia"/>
          <w:color w:val="000000" w:themeColor="text1"/>
          <w:highlight w:val="none"/>
          <w:lang w:val="en-US" w:eastAsia="zh-CN"/>
          <w14:textFill>
            <w14:solidFill>
              <w14:schemeClr w14:val="tx1"/>
            </w14:solidFill>
          </w14:textFill>
        </w:rPr>
        <w:t>包括但不限于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numPr>
          <w:ilvl w:val="0"/>
          <w:numId w:val="4"/>
        </w:numPr>
        <w:adjustRightInd/>
        <w:spacing w:line="360" w:lineRule="auto"/>
        <w:ind w:firstLine="482" w:firstLineChars="200"/>
        <w:outlineLvl w:val="2"/>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相关事件用语</w:t>
      </w:r>
    </w:p>
    <w:p>
      <w:pPr>
        <w:pStyle w:val="17"/>
        <w:numPr>
          <w:ilvl w:val="0"/>
          <w:numId w:val="8"/>
        </w:numPr>
        <w:adjustRightInd/>
        <w:spacing w:line="360" w:lineRule="auto"/>
        <w:ind w:firstLine="482"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不可抗力：</w:t>
      </w:r>
      <w:r>
        <w:rPr>
          <w:rFonts w:hint="eastAsia" w:ascii="宋体" w:hAnsi="宋体" w:cs="宋体"/>
          <w:bCs/>
          <w:color w:val="000000" w:themeColor="text1"/>
          <w:kern w:val="2"/>
          <w:highlight w:val="none"/>
          <w14:textFill>
            <w14:solidFill>
              <w14:schemeClr w14:val="tx1"/>
            </w14:solidFill>
          </w14:textFill>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color w:val="000000" w:themeColor="text1"/>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（1）地震、台风、海啸、洪水、火灾、停电、瘟疫、突发公共卫生事件；</w:t>
      </w:r>
    </w:p>
    <w:p>
      <w:pPr>
        <w:pStyle w:val="17"/>
        <w:adjustRightInd/>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（2）战争、政变、恐怖主义行动、骚乱、罢工；</w:t>
      </w:r>
    </w:p>
    <w:p>
      <w:pPr>
        <w:pStyle w:val="17"/>
        <w:adjustRightInd/>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巨额赎回：</w:t>
      </w:r>
      <w:r>
        <w:rPr>
          <w:rFonts w:hint="eastAsia" w:ascii="宋体" w:hAnsi="宋体" w:cs="宋体"/>
          <w:bCs/>
          <w:color w:val="000000" w:themeColor="text1"/>
          <w:kern w:val="2"/>
          <w:highlight w:val="none"/>
          <w14:textFill>
            <w14:solidFill>
              <w14:schemeClr w14:val="tx1"/>
            </w14:solidFill>
          </w14:textFill>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lang w:val="en-US" w:eastAsia="zh-CN"/>
          <w14:textFill>
            <w14:solidFill>
              <w14:schemeClr w14:val="tx1"/>
            </w14:solidFill>
          </w14:textFill>
        </w:rPr>
        <w:t>摆动定价机制：</w:t>
      </w:r>
      <w:r>
        <w:rPr>
          <w:rFonts w:hint="eastAsia" w:ascii="宋体" w:hAnsi="宋体" w:cs="宋体"/>
          <w:b w:val="0"/>
          <w:bCs/>
          <w:color w:val="000000" w:themeColor="text1"/>
          <w:kern w:val="2"/>
          <w:highlight w:val="none"/>
          <w:lang w:val="en-US" w:eastAsia="zh-CN"/>
          <w14:textFill>
            <w14:solidFill>
              <w14:schemeClr w14:val="tx1"/>
            </w14:solidFill>
          </w14:textFill>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lang w:val="en-US" w:eastAsia="zh-CN"/>
          <w14:textFill>
            <w14:solidFill>
              <w14:schemeClr w14:val="tx1"/>
            </w14:solidFill>
          </w14:textFill>
        </w:rPr>
        <w:t>短期赎回费机制：</w:t>
      </w:r>
      <w:r>
        <w:rPr>
          <w:rFonts w:hint="eastAsia" w:ascii="宋体" w:hAnsi="宋体" w:cs="宋体"/>
          <w:b w:val="0"/>
          <w:bCs/>
          <w:color w:val="000000" w:themeColor="text1"/>
          <w:kern w:val="2"/>
          <w:highlight w:val="none"/>
          <w:lang w:val="en-US" w:eastAsia="zh-CN"/>
          <w14:textFill>
            <w14:solidFill>
              <w14:schemeClr w14:val="tx1"/>
            </w14:solidFill>
          </w14:textFill>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numPr>
          <w:ilvl w:val="0"/>
          <w:numId w:val="0"/>
        </w:numPr>
        <w:adjustRightInd/>
        <w:spacing w:line="360" w:lineRule="auto"/>
        <w:rPr>
          <w:rFonts w:hint="eastAsia" w:ascii="宋体" w:hAnsi="宋体" w:cs="宋体"/>
          <w:b/>
          <w:color w:val="000000" w:themeColor="text1"/>
          <w:kern w:val="2"/>
          <w:highlight w:val="none"/>
          <w14:textFill>
            <w14:solidFill>
              <w14:schemeClr w14:val="tx1"/>
            </w14:solidFill>
          </w14:textFill>
        </w:rPr>
      </w:pPr>
    </w:p>
    <w:p>
      <w:pPr>
        <w:pStyle w:val="17"/>
        <w:numPr>
          <w:ilvl w:val="0"/>
          <w:numId w:val="10"/>
        </w:numPr>
        <w:adjustRightInd/>
        <w:spacing w:line="360" w:lineRule="auto"/>
        <w:ind w:firstLine="482" w:firstLineChars="200"/>
        <w:outlineLvl w:val="1"/>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风险评级</w:t>
      </w:r>
    </w:p>
    <w:p>
      <w:pPr>
        <w:pStyle w:val="17"/>
        <w:adjustRightInd/>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产品风险评级由管理人根据产品投资组合、投资运作情况、同类产品过往业绩和风险水平等因素合理确定。根据管理人内部风险评级标准，</w:t>
      </w:r>
      <w:r>
        <w:rPr>
          <w:rFonts w:hint="eastAsia" w:ascii="宋体" w:hAnsi="宋体" w:cs="宋体"/>
          <w:b/>
          <w:color w:val="000000" w:themeColor="text1"/>
          <w:kern w:val="2"/>
          <w:highlight w:val="none"/>
          <w14:textFill>
            <w14:solidFill>
              <w14:schemeClr w14:val="tx1"/>
            </w14:solidFill>
          </w14:textFill>
        </w:rPr>
        <w:t>本理财计划的风险等级为〖R</w:t>
      </w:r>
      <w:r>
        <w:rPr>
          <w:rFonts w:hint="eastAsia" w:ascii="宋体" w:hAnsi="宋体" w:cs="宋体"/>
          <w:b/>
          <w:color w:val="000000" w:themeColor="text1"/>
          <w:kern w:val="2"/>
          <w:highlight w:val="none"/>
          <w:lang w:val="en-US" w:eastAsia="zh-CN"/>
          <w14:textFill>
            <w14:solidFill>
              <w14:schemeClr w14:val="tx1"/>
            </w14:solidFill>
          </w14:textFill>
        </w:rPr>
        <w:t>1</w:t>
      </w:r>
      <w:r>
        <w:rPr>
          <w:rFonts w:hint="eastAsia" w:ascii="宋体" w:hAnsi="宋体" w:cs="宋体"/>
          <w:b/>
          <w:color w:val="000000" w:themeColor="text1"/>
          <w:kern w:val="2"/>
          <w:highlight w:val="none"/>
          <w14:textFill>
            <w14:solidFill>
              <w14:schemeClr w14:val="tx1"/>
            </w14:solidFill>
          </w14:textFill>
        </w:rPr>
        <w:t>〗，〖</w:t>
      </w:r>
      <w:r>
        <w:rPr>
          <w:rFonts w:hint="eastAsia" w:ascii="宋体" w:hAnsi="宋体" w:cs="宋体"/>
          <w:b/>
          <w:color w:val="000000" w:themeColor="text1"/>
          <w:kern w:val="2"/>
          <w:highlight w:val="none"/>
          <w:lang w:val="en-US" w:eastAsia="zh-CN"/>
          <w14:textFill>
            <w14:solidFill>
              <w14:schemeClr w14:val="tx1"/>
            </w14:solidFill>
          </w14:textFill>
        </w:rPr>
        <w:t>低</w:t>
      </w:r>
      <w:r>
        <w:rPr>
          <w:rFonts w:hint="eastAsia" w:ascii="宋体" w:hAnsi="宋体" w:cs="宋体"/>
          <w:b/>
          <w:color w:val="000000" w:themeColor="text1"/>
          <w:kern w:val="2"/>
          <w:highlight w:val="none"/>
          <w14:textFill>
            <w14:solidFill>
              <w14:schemeClr w14:val="tx1"/>
            </w14:solidFill>
          </w14:textFill>
        </w:rPr>
        <w:t>〗风险。</w:t>
      </w:r>
      <w:r>
        <w:rPr>
          <w:rFonts w:hint="eastAsia" w:ascii="宋体" w:hAnsi="宋体" w:cs="宋体"/>
          <w:bCs/>
          <w:color w:val="000000" w:themeColor="text1"/>
          <w:kern w:val="2"/>
          <w:highlight w:val="none"/>
          <w14:textFill>
            <w14:solidFill>
              <w14:schemeClr w14:val="tx1"/>
            </w14:solidFill>
          </w14:textFill>
        </w:rPr>
        <w:t>该评级仅是管理人内部测评结果，仅供投资者参考，不具有任何法律约束力。</w:t>
      </w:r>
    </w:p>
    <w:tbl>
      <w:tblPr>
        <w:tblStyle w:val="11"/>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内部风险评级</w:t>
            </w:r>
          </w:p>
        </w:tc>
        <w:tc>
          <w:tcPr>
            <w:tcW w:w="1382"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风险程度</w:t>
            </w:r>
          </w:p>
        </w:tc>
        <w:tc>
          <w:tcPr>
            <w:tcW w:w="4755"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adjustRightInd/>
              <w:spacing w:line="360" w:lineRule="auto"/>
              <w:jc w:val="center"/>
              <w:rPr>
                <w:rFonts w:ascii="宋体" w:hAnsi="宋体" w:cs="宋体"/>
                <w:b/>
                <w:bCs w:val="0"/>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14:textFill>
                  <w14:solidFill>
                    <w14:schemeClr w14:val="tx1"/>
                  </w14:solidFill>
                </w14:textFill>
              </w:rPr>
              <w:t>R1</w:t>
            </w:r>
          </w:p>
        </w:tc>
        <w:tc>
          <w:tcPr>
            <w:tcW w:w="1382" w:type="dxa"/>
            <w:noWrap w:val="0"/>
            <w:vAlign w:val="top"/>
          </w:tcPr>
          <w:p>
            <w:pPr>
              <w:pStyle w:val="17"/>
              <w:adjustRightInd/>
              <w:spacing w:line="360" w:lineRule="auto"/>
              <w:jc w:val="center"/>
              <w:rPr>
                <w:rFonts w:ascii="宋体" w:hAnsi="宋体" w:cs="宋体"/>
                <w:b/>
                <w:bCs w:val="0"/>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14:textFill>
                  <w14:solidFill>
                    <w14:schemeClr w14:val="tx1"/>
                  </w14:solidFill>
                </w14:textFill>
              </w:rPr>
              <w:t>低</w:t>
            </w:r>
          </w:p>
        </w:tc>
        <w:tc>
          <w:tcPr>
            <w:tcW w:w="4755" w:type="dxa"/>
            <w:noWrap w:val="0"/>
            <w:vAlign w:val="top"/>
          </w:tcPr>
          <w:p>
            <w:pPr>
              <w:pStyle w:val="17"/>
              <w:adjustRightInd/>
              <w:spacing w:line="360" w:lineRule="auto"/>
              <w:jc w:val="center"/>
              <w:rPr>
                <w:rFonts w:ascii="宋体" w:hAnsi="宋体" w:cs="宋体"/>
                <w:b/>
                <w:bCs w:val="0"/>
                <w:color w:val="000000" w:themeColor="text1"/>
                <w:kern w:val="2"/>
                <w:highlight w:val="none"/>
                <w14:textFill>
                  <w14:solidFill>
                    <w14:schemeClr w14:val="tx1"/>
                  </w14:solidFill>
                </w14:textFill>
              </w:rPr>
            </w:pPr>
            <w:r>
              <w:rPr>
                <w:rFonts w:hint="eastAsia" w:ascii="宋体" w:hAnsi="宋体" w:cs="宋体"/>
                <w:b/>
                <w:bCs w:val="0"/>
                <w:color w:val="000000" w:themeColor="text1"/>
                <w:kern w:val="2"/>
                <w:highlight w:val="none"/>
                <w:lang w:eastAsia="zh-CN"/>
                <w14:textFill>
                  <w14:solidFill>
                    <w14:schemeClr w14:val="tx1"/>
                  </w14:solidFill>
                </w14:textFill>
              </w:rPr>
              <w:t>保守型、</w:t>
            </w:r>
            <w:r>
              <w:rPr>
                <w:rFonts w:hint="eastAsia" w:ascii="宋体" w:hAnsi="宋体" w:cs="宋体"/>
                <w:b/>
                <w:bCs w:val="0"/>
                <w:color w:val="000000" w:themeColor="text1"/>
                <w:kern w:val="2"/>
                <w:highlight w:val="none"/>
                <w14:textFill>
                  <w14:solidFill>
                    <w14:schemeClr w14:val="tx1"/>
                  </w14:solidFill>
                </w14:textFill>
              </w:rPr>
              <w:t>稳健型</w:t>
            </w:r>
            <w:r>
              <w:rPr>
                <w:rFonts w:hint="eastAsia" w:ascii="宋体" w:hAnsi="宋体" w:cs="宋体"/>
                <w:b/>
                <w:bCs w:val="0"/>
                <w:color w:val="000000" w:themeColor="text1"/>
                <w:kern w:val="2"/>
                <w:highlight w:val="none"/>
                <w:lang w:eastAsia="zh-CN"/>
                <w14:textFill>
                  <w14:solidFill>
                    <w14:schemeClr w14:val="tx1"/>
                  </w14:solidFill>
                </w14:textFill>
              </w:rPr>
              <w:t>、</w:t>
            </w:r>
            <w:r>
              <w:rPr>
                <w:rFonts w:hint="eastAsia" w:ascii="宋体" w:hAnsi="宋体" w:cs="宋体"/>
                <w:b/>
                <w:bCs w:val="0"/>
                <w:color w:val="000000" w:themeColor="text1"/>
                <w:kern w:val="2"/>
                <w:highlight w:val="none"/>
                <w14:textFill>
                  <w14:solidFill>
                    <w14:schemeClr w14:val="tx1"/>
                  </w14:solidFill>
                </w14:textFill>
              </w:rPr>
              <w:t>平衡型</w:t>
            </w:r>
            <w:r>
              <w:rPr>
                <w:rFonts w:hint="eastAsia" w:ascii="宋体" w:hAnsi="宋体" w:cs="宋体"/>
                <w:b/>
                <w:bCs w:val="0"/>
                <w:color w:val="000000" w:themeColor="text1"/>
                <w:kern w:val="2"/>
                <w:highlight w:val="none"/>
                <w:lang w:eastAsia="zh-CN"/>
                <w14:textFill>
                  <w14:solidFill>
                    <w14:schemeClr w14:val="tx1"/>
                  </w14:solidFill>
                </w14:textFill>
              </w:rPr>
              <w:t>、成长</w:t>
            </w:r>
            <w:r>
              <w:rPr>
                <w:rFonts w:hint="eastAsia" w:ascii="宋体" w:hAnsi="宋体" w:cs="宋体"/>
                <w:b/>
                <w:bCs w:val="0"/>
                <w:color w:val="000000" w:themeColor="text1"/>
                <w:kern w:val="2"/>
                <w:highlight w:val="none"/>
                <w14:textFill>
                  <w14:solidFill>
                    <w14:schemeClr w14:val="tx1"/>
                  </w14:solidFill>
                </w14:textFill>
              </w:rPr>
              <w:t>型</w:t>
            </w:r>
            <w:r>
              <w:rPr>
                <w:rFonts w:hint="eastAsia" w:ascii="宋体" w:hAnsi="宋体" w:cs="宋体"/>
                <w:b/>
                <w:bCs w:val="0"/>
                <w:color w:val="000000" w:themeColor="text1"/>
                <w:kern w:val="2"/>
                <w:highlight w:val="none"/>
                <w:lang w:eastAsia="zh-CN"/>
                <w14:textFill>
                  <w14:solidFill>
                    <w14:schemeClr w14:val="tx1"/>
                  </w14:solidFill>
                </w14:textFill>
              </w:rPr>
              <w:t>、进取</w:t>
            </w:r>
            <w:r>
              <w:rPr>
                <w:rFonts w:hint="eastAsia" w:ascii="宋体" w:hAnsi="宋体" w:cs="宋体"/>
                <w:b/>
                <w:bCs w:val="0"/>
                <w:color w:val="000000" w:themeColor="text1"/>
                <w:kern w:val="2"/>
                <w:highlight w:val="none"/>
                <w14:textFill>
                  <w14:solidFill>
                    <w14:schemeClr w14:val="tx1"/>
                  </w14:solidFill>
                </w14:textFill>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adjustRightInd/>
              <w:spacing w:line="360" w:lineRule="auto"/>
              <w:jc w:val="center"/>
              <w:rPr>
                <w:rFonts w:ascii="宋体" w:hAnsi="宋体" w:cs="宋体"/>
                <w:b w:val="0"/>
                <w:bCs/>
                <w:color w:val="000000" w:themeColor="text1"/>
                <w:kern w:val="2"/>
                <w:highlight w:val="none"/>
                <w14:textFill>
                  <w14:solidFill>
                    <w14:schemeClr w14:val="tx1"/>
                  </w14:solidFill>
                </w14:textFill>
              </w:rPr>
            </w:pPr>
            <w:r>
              <w:rPr>
                <w:rFonts w:hint="eastAsia" w:ascii="宋体" w:hAnsi="宋体" w:cs="宋体"/>
                <w:b w:val="0"/>
                <w:bCs/>
                <w:color w:val="000000" w:themeColor="text1"/>
                <w:kern w:val="2"/>
                <w:highlight w:val="none"/>
                <w14:textFill>
                  <w14:solidFill>
                    <w14:schemeClr w14:val="tx1"/>
                  </w14:solidFill>
                </w14:textFill>
              </w:rPr>
              <w:t>R2</w:t>
            </w:r>
          </w:p>
        </w:tc>
        <w:tc>
          <w:tcPr>
            <w:tcW w:w="1382" w:type="dxa"/>
            <w:noWrap w:val="0"/>
            <w:vAlign w:val="top"/>
          </w:tcPr>
          <w:p>
            <w:pPr>
              <w:pStyle w:val="17"/>
              <w:adjustRightInd/>
              <w:spacing w:line="360" w:lineRule="auto"/>
              <w:jc w:val="center"/>
              <w:rPr>
                <w:rFonts w:ascii="宋体" w:hAnsi="宋体" w:cs="宋体"/>
                <w:b w:val="0"/>
                <w:bCs/>
                <w:color w:val="000000" w:themeColor="text1"/>
                <w:kern w:val="2"/>
                <w:highlight w:val="none"/>
                <w14:textFill>
                  <w14:solidFill>
                    <w14:schemeClr w14:val="tx1"/>
                  </w14:solidFill>
                </w14:textFill>
              </w:rPr>
            </w:pPr>
            <w:r>
              <w:rPr>
                <w:rFonts w:hint="eastAsia" w:ascii="宋体" w:hAnsi="宋体" w:cs="宋体"/>
                <w:b w:val="0"/>
                <w:bCs/>
                <w:color w:val="000000" w:themeColor="text1"/>
                <w:kern w:val="2"/>
                <w:highlight w:val="none"/>
                <w14:textFill>
                  <w14:solidFill>
                    <w14:schemeClr w14:val="tx1"/>
                  </w14:solidFill>
                </w14:textFill>
              </w:rPr>
              <w:t>中低</w:t>
            </w:r>
          </w:p>
        </w:tc>
        <w:tc>
          <w:tcPr>
            <w:tcW w:w="4755" w:type="dxa"/>
            <w:noWrap w:val="0"/>
            <w:vAlign w:val="top"/>
          </w:tcPr>
          <w:p>
            <w:pPr>
              <w:pStyle w:val="17"/>
              <w:adjustRightInd/>
              <w:spacing w:line="360" w:lineRule="auto"/>
              <w:jc w:val="center"/>
              <w:rPr>
                <w:rFonts w:ascii="宋体" w:hAnsi="宋体" w:cs="宋体"/>
                <w:b w:val="0"/>
                <w:bCs/>
                <w:color w:val="000000" w:themeColor="text1"/>
                <w:kern w:val="2"/>
                <w:highlight w:val="none"/>
                <w14:textFill>
                  <w14:solidFill>
                    <w14:schemeClr w14:val="tx1"/>
                  </w14:solidFill>
                </w14:textFill>
              </w:rPr>
            </w:pPr>
            <w:r>
              <w:rPr>
                <w:rFonts w:hint="eastAsia" w:ascii="宋体" w:hAnsi="宋体" w:cs="宋体"/>
                <w:b w:val="0"/>
                <w:bCs/>
                <w:color w:val="000000" w:themeColor="text1"/>
                <w:kern w:val="2"/>
                <w:highlight w:val="none"/>
                <w14:textFill>
                  <w14:solidFill>
                    <w14:schemeClr w14:val="tx1"/>
                  </w14:solidFill>
                </w14:textFill>
              </w:rPr>
              <w:t>稳健型</w:t>
            </w:r>
            <w:r>
              <w:rPr>
                <w:rFonts w:hint="eastAsia" w:ascii="宋体" w:hAnsi="宋体" w:cs="宋体"/>
                <w:b w:val="0"/>
                <w:bCs/>
                <w:color w:val="000000" w:themeColor="text1"/>
                <w:kern w:val="2"/>
                <w:highlight w:val="none"/>
                <w:lang w:eastAsia="zh-CN"/>
                <w14:textFill>
                  <w14:solidFill>
                    <w14:schemeClr w14:val="tx1"/>
                  </w14:solidFill>
                </w14:textFill>
              </w:rPr>
              <w:t>、</w:t>
            </w:r>
            <w:r>
              <w:rPr>
                <w:rFonts w:hint="eastAsia" w:ascii="宋体" w:hAnsi="宋体" w:cs="宋体"/>
                <w:b w:val="0"/>
                <w:bCs/>
                <w:color w:val="000000" w:themeColor="text1"/>
                <w:kern w:val="2"/>
                <w:highlight w:val="none"/>
                <w14:textFill>
                  <w14:solidFill>
                    <w14:schemeClr w14:val="tx1"/>
                  </w14:solidFill>
                </w14:textFill>
              </w:rPr>
              <w:t>平衡型</w:t>
            </w:r>
            <w:r>
              <w:rPr>
                <w:rFonts w:hint="eastAsia" w:ascii="宋体" w:hAnsi="宋体" w:cs="宋体"/>
                <w:b w:val="0"/>
                <w:bCs/>
                <w:color w:val="000000" w:themeColor="text1"/>
                <w:kern w:val="2"/>
                <w:highlight w:val="none"/>
                <w:lang w:eastAsia="zh-CN"/>
                <w14:textFill>
                  <w14:solidFill>
                    <w14:schemeClr w14:val="tx1"/>
                  </w14:solidFill>
                </w14:textFill>
              </w:rPr>
              <w:t>、成长</w:t>
            </w:r>
            <w:r>
              <w:rPr>
                <w:rFonts w:hint="eastAsia" w:ascii="宋体" w:hAnsi="宋体" w:cs="宋体"/>
                <w:b w:val="0"/>
                <w:bCs/>
                <w:color w:val="000000" w:themeColor="text1"/>
                <w:kern w:val="2"/>
                <w:highlight w:val="none"/>
                <w14:textFill>
                  <w14:solidFill>
                    <w14:schemeClr w14:val="tx1"/>
                  </w14:solidFill>
                </w14:textFill>
              </w:rPr>
              <w:t>型</w:t>
            </w:r>
            <w:r>
              <w:rPr>
                <w:rFonts w:hint="eastAsia" w:ascii="宋体" w:hAnsi="宋体" w:cs="宋体"/>
                <w:b w:val="0"/>
                <w:bCs/>
                <w:color w:val="000000" w:themeColor="text1"/>
                <w:kern w:val="2"/>
                <w:highlight w:val="none"/>
                <w:lang w:eastAsia="zh-CN"/>
                <w14:textFill>
                  <w14:solidFill>
                    <w14:schemeClr w14:val="tx1"/>
                  </w14:solidFill>
                </w14:textFill>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R3</w:t>
            </w:r>
          </w:p>
        </w:tc>
        <w:tc>
          <w:tcPr>
            <w:tcW w:w="1382"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中</w:t>
            </w:r>
          </w:p>
        </w:tc>
        <w:tc>
          <w:tcPr>
            <w:tcW w:w="4755"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平衡型</w:t>
            </w:r>
            <w:r>
              <w:rPr>
                <w:rFonts w:hint="eastAsia" w:ascii="宋体" w:hAnsi="宋体" w:cs="宋体"/>
                <w:bCs/>
                <w:color w:val="000000" w:themeColor="text1"/>
                <w:kern w:val="2"/>
                <w:highlight w:val="none"/>
                <w:lang w:eastAsia="zh-CN"/>
                <w14:textFill>
                  <w14:solidFill>
                    <w14:schemeClr w14:val="tx1"/>
                  </w14:solidFill>
                </w14:textFill>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R4</w:t>
            </w:r>
          </w:p>
        </w:tc>
        <w:tc>
          <w:tcPr>
            <w:tcW w:w="1382"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中高</w:t>
            </w:r>
          </w:p>
        </w:tc>
        <w:tc>
          <w:tcPr>
            <w:tcW w:w="4755"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lang w:eastAsia="zh-CN"/>
                <w14:textFill>
                  <w14:solidFill>
                    <w14:schemeClr w14:val="tx1"/>
                  </w14:solidFill>
                </w14:textFill>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R5</w:t>
            </w:r>
          </w:p>
        </w:tc>
        <w:tc>
          <w:tcPr>
            <w:tcW w:w="1382"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高</w:t>
            </w:r>
          </w:p>
        </w:tc>
        <w:tc>
          <w:tcPr>
            <w:tcW w:w="4755" w:type="dxa"/>
            <w:noWrap w:val="0"/>
            <w:vAlign w:val="top"/>
          </w:tcPr>
          <w:p>
            <w:pPr>
              <w:pStyle w:val="17"/>
              <w:adjustRightInd/>
              <w:spacing w:line="360" w:lineRule="auto"/>
              <w:jc w:val="center"/>
              <w:rPr>
                <w:rFonts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lang w:eastAsia="zh-CN"/>
                <w14:textFill>
                  <w14:solidFill>
                    <w14:schemeClr w14:val="tx1"/>
                  </w14:solidFill>
                </w14:textFill>
              </w:rPr>
              <w:t>进取型</w:t>
            </w:r>
          </w:p>
        </w:tc>
      </w:tr>
    </w:tbl>
    <w:p>
      <w:pPr>
        <w:pStyle w:val="17"/>
        <w:adjustRightInd/>
        <w:spacing w:line="360" w:lineRule="auto"/>
        <w:ind w:firstLine="480" w:firstLineChars="200"/>
        <w:rPr>
          <w:rFonts w:hint="default" w:ascii="宋体" w:hAnsi="宋体" w:cs="宋体"/>
          <w:bCs/>
          <w:color w:val="000000" w:themeColor="text1"/>
          <w:kern w:val="2"/>
          <w:highlight w:val="none"/>
          <w:lang w:val="en-US" w:eastAsia="zh-CN"/>
          <w14:textFill>
            <w14:solidFill>
              <w14:schemeClr w14:val="tx1"/>
            </w14:solidFill>
          </w14:textFill>
        </w:rPr>
      </w:pPr>
      <w:r>
        <w:rPr>
          <w:rFonts w:hint="eastAsia" w:ascii="宋体" w:hAnsi="宋体" w:cs="宋体"/>
          <w:bCs/>
          <w:color w:val="000000" w:themeColor="text1"/>
          <w:kern w:val="2"/>
          <w:highlight w:val="none"/>
          <w:lang w:eastAsia="zh-CN"/>
          <w14:textFill>
            <w14:solidFill>
              <w14:schemeClr w14:val="tx1"/>
            </w14:solidFill>
          </w14:textFill>
        </w:rPr>
        <w:t>投资者风险承受能力评级水平以销售机构评估为准。</w:t>
      </w:r>
    </w:p>
    <w:p>
      <w:pPr>
        <w:pStyle w:val="17"/>
        <w:adjustRightInd/>
        <w:spacing w:line="360" w:lineRule="auto"/>
        <w:rPr>
          <w:rFonts w:hint="eastAsia" w:ascii="宋体" w:hAnsi="宋体" w:cs="宋体"/>
          <w:b/>
          <w:color w:val="000000" w:themeColor="text1"/>
          <w:kern w:val="2"/>
          <w:highlight w:val="none"/>
          <w14:textFill>
            <w14:solidFill>
              <w14:schemeClr w14:val="tx1"/>
            </w14:solidFill>
          </w14:textFill>
        </w:rPr>
      </w:pPr>
    </w:p>
    <w:p>
      <w:pPr>
        <w:pStyle w:val="17"/>
        <w:numPr>
          <w:ilvl w:val="0"/>
          <w:numId w:val="10"/>
        </w:numPr>
        <w:adjustRightInd/>
        <w:spacing w:line="360" w:lineRule="auto"/>
        <w:outlineLvl w:val="1"/>
        <w:rPr>
          <w:rFonts w:hint="eastAsia" w:ascii="宋体" w:hAnsi="宋体" w:cs="宋体"/>
          <w:b/>
          <w:color w:val="000000" w:themeColor="text1"/>
          <w:kern w:val="2"/>
          <w:highlight w:val="none"/>
          <w14:textFill>
            <w14:solidFill>
              <w14:schemeClr w14:val="tx1"/>
            </w14:solidFill>
          </w14:textFill>
        </w:rPr>
      </w:pPr>
      <w:r>
        <w:rPr>
          <w:rFonts w:hint="eastAsia" w:ascii="宋体" w:hAnsi="宋体" w:cs="宋体"/>
          <w:b/>
          <w:color w:val="000000" w:themeColor="text1"/>
          <w:kern w:val="2"/>
          <w:highlight w:val="none"/>
          <w14:textFill>
            <w14:solidFill>
              <w14:schemeClr w14:val="tx1"/>
            </w14:solidFill>
          </w14:textFill>
        </w:rPr>
        <w:t>产品要素</w:t>
      </w:r>
    </w:p>
    <w:tbl>
      <w:tblPr>
        <w:tblStyle w:val="11"/>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产品名称</w:t>
            </w:r>
          </w:p>
        </w:tc>
        <w:tc>
          <w:tcPr>
            <w:tcW w:w="7185" w:type="dxa"/>
            <w:noWrap w:val="0"/>
            <w:vAlign w:val="center"/>
          </w:tcPr>
          <w:p>
            <w:pPr>
              <w:widowControl/>
              <w:spacing w:line="360" w:lineRule="auto"/>
              <w:contextualSpacing/>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幸福99添益固收(稳盈存款存单策略)7天持有期理财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widowControl/>
              <w:spacing w:line="360" w:lineRule="auto"/>
              <w:contextualSpacing/>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产品简称</w:t>
            </w:r>
          </w:p>
        </w:tc>
        <w:tc>
          <w:tcPr>
            <w:tcW w:w="7185" w:type="dxa"/>
            <w:noWrap w:val="0"/>
            <w:vAlign w:val="center"/>
          </w:tcPr>
          <w:p>
            <w:pPr>
              <w:widowControl/>
              <w:spacing w:line="360" w:lineRule="auto"/>
              <w:contextualSpacing/>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添益稳盈</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default" w:ascii="宋体" w:hAnsi="宋体" w:eastAsia="宋体" w:cs="宋体"/>
                <w:color w:val="000000" w:themeColor="text1"/>
                <w:sz w:val="21"/>
                <w:szCs w:val="21"/>
                <w:highlight w:val="none"/>
                <w:lang w:val="en-US" w:eastAsia="zh-CN"/>
                <w14:textFill>
                  <w14:solidFill>
                    <w14:schemeClr w14:val="tx1"/>
                  </w14:solidFill>
                </w14:textFill>
              </w:rPr>
              <w:t>天持有期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产品编号</w:t>
            </w:r>
          </w:p>
        </w:tc>
        <w:tc>
          <w:tcPr>
            <w:tcW w:w="7185" w:type="dxa"/>
            <w:noWrap w:val="0"/>
            <w:vAlign w:val="center"/>
          </w:tcPr>
          <w:p>
            <w:pPr>
              <w:widowControl/>
              <w:spacing w:line="360" w:lineRule="auto"/>
              <w:contextualSpacing/>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TYGCW7D2501</w:t>
            </w:r>
            <w:r>
              <w:rPr>
                <w:rFonts w:hint="eastAsia" w:ascii="宋体" w:hAnsi="宋体" w:cs="宋体"/>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登记编码</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本理财计划在全国银行业理财信息登记系统的登记编码是〖Z7002225000114〗，投资者可依据该编码在“中国理财网（www.chinawealth.com.cn）”查询本理财计划信息。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发行对象</w:t>
            </w:r>
          </w:p>
        </w:tc>
        <w:tc>
          <w:tcPr>
            <w:tcW w:w="7185" w:type="dxa"/>
            <w:noWrap w:val="0"/>
            <w:vAlign w:val="center"/>
          </w:tcPr>
          <w:p>
            <w:pPr>
              <w:widowControl/>
              <w:spacing w:line="360" w:lineRule="auto"/>
              <w:contextualSpacing/>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本理财计划适合</w:t>
            </w:r>
            <w:r>
              <w:rPr>
                <w:rFonts w:hint="eastAsia" w:ascii="宋体" w:hAnsi="宋体" w:cs="宋体"/>
                <w:b/>
                <w:color w:val="000000" w:themeColor="text1"/>
                <w:sz w:val="21"/>
                <w:szCs w:val="21"/>
                <w:highlight w:val="none"/>
                <w14:textFill>
                  <w14:solidFill>
                    <w14:schemeClr w14:val="tx1"/>
                  </w14:solidFill>
                </w14:textFill>
              </w:rPr>
              <w:t>〖机构投资者〗以及〖</w:t>
            </w:r>
            <w:r>
              <w:rPr>
                <w:rFonts w:hint="eastAsia" w:ascii="宋体" w:hAnsi="宋体" w:cs="宋体"/>
                <w:b/>
                <w:color w:val="000000" w:themeColor="text1"/>
                <w:sz w:val="21"/>
                <w:szCs w:val="21"/>
                <w:highlight w:val="none"/>
                <w:lang w:val="en-US" w:eastAsia="zh-CN"/>
                <w14:textFill>
                  <w14:solidFill>
                    <w14:schemeClr w14:val="tx1"/>
                  </w14:solidFill>
                </w14:textFill>
              </w:rPr>
              <w:t>保守型、稳健型、</w:t>
            </w:r>
            <w:r>
              <w:rPr>
                <w:rFonts w:hint="eastAsia" w:ascii="宋体" w:hAnsi="宋体" w:cs="宋体"/>
                <w:b/>
                <w:color w:val="000000" w:themeColor="text1"/>
                <w:sz w:val="21"/>
                <w:szCs w:val="21"/>
                <w:highlight w:val="none"/>
                <w14:textFill>
                  <w14:solidFill>
                    <w14:schemeClr w14:val="tx1"/>
                  </w14:solidFill>
                </w14:textFill>
              </w:rPr>
              <w:t>平衡型、成长型、进取型〗的个人投资者。</w:t>
            </w:r>
            <w:r>
              <w:rPr>
                <w:rFonts w:hint="eastAsia" w:ascii="宋体" w:hAnsi="宋体" w:cs="宋体"/>
                <w:bCs/>
                <w:color w:val="000000" w:themeColor="text1"/>
                <w:kern w:val="2"/>
                <w:sz w:val="21"/>
                <w:szCs w:val="21"/>
                <w:highlight w:val="none"/>
                <w:lang w:eastAsia="zh-CN"/>
                <w14:textFill>
                  <w14:solidFill>
                    <w14:schemeClr w14:val="tx1"/>
                  </w14:solidFill>
                </w14:textFill>
              </w:rPr>
              <w:t>投资者风险承受能力评级水平以销售机构评估为准。</w:t>
            </w:r>
          </w:p>
          <w:p>
            <w:pPr>
              <w:widowControl/>
              <w:spacing w:line="360" w:lineRule="auto"/>
              <w:contextualSpacing/>
              <w:rPr>
                <w:rFonts w:hint="eastAsia" w:ascii="宋体" w:hAnsi="宋体" w:cs="宋体"/>
                <w:b w:val="0"/>
                <w:bCs/>
                <w:color w:val="000000" w:themeColor="text1"/>
                <w:sz w:val="21"/>
                <w:szCs w:val="21"/>
                <w:highlight w:val="none"/>
                <w:lang w:eastAsia="zh-CN"/>
                <w14:textFill>
                  <w14:solidFill>
                    <w14:schemeClr w14:val="tx1"/>
                  </w14:solidFill>
                </w14:textFill>
              </w:rPr>
            </w:pPr>
            <w:r>
              <w:rPr>
                <w:rFonts w:hint="eastAsia" w:ascii="宋体" w:hAnsi="宋体" w:cs="宋体"/>
                <w:b w:val="0"/>
                <w:bCs/>
                <w:color w:val="000000" w:themeColor="text1"/>
                <w:sz w:val="21"/>
                <w:szCs w:val="21"/>
                <w:highlight w:val="none"/>
                <w:lang w:eastAsia="zh-CN"/>
                <w14:textFill>
                  <w14:solidFill>
                    <w14:schemeClr w14:val="tx1"/>
                  </w14:solidFill>
                </w14:textFill>
              </w:rPr>
              <w:t>其中：</w:t>
            </w:r>
          </w:p>
          <w:p>
            <w:pPr>
              <w:widowControl/>
              <w:spacing w:line="360" w:lineRule="auto"/>
              <w:contextualSpacing/>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b w:val="0"/>
                <w:bCs/>
                <w:color w:val="000000" w:themeColor="text1"/>
                <w:sz w:val="21"/>
                <w:szCs w:val="21"/>
                <w:highlight w:val="none"/>
                <w:lang w:val="en-US" w:eastAsia="zh-CN"/>
                <w14:textFill>
                  <w14:solidFill>
                    <w14:schemeClr w14:val="tx1"/>
                  </w14:solidFill>
                </w14:textFill>
              </w:rPr>
              <w:t>A份额（销售代码</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b w:val="0"/>
                <w:bCs/>
                <w:color w:val="000000" w:themeColor="text1"/>
                <w:sz w:val="21"/>
                <w:szCs w:val="21"/>
                <w:highlight w:val="none"/>
                <w:lang w:val="en-US" w:eastAsia="zh-CN"/>
                <w14:textFill>
                  <w14:solidFill>
                    <w14:schemeClr w14:val="tx1"/>
                  </w14:solidFill>
                </w14:textFill>
              </w:rPr>
              <w:t>TYGCW7D2501A</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b w:val="0"/>
                <w:bCs/>
                <w:color w:val="000000" w:themeColor="text1"/>
                <w:sz w:val="21"/>
                <w:szCs w:val="21"/>
                <w:highlight w:val="none"/>
                <w:lang w:val="en-US" w:eastAsia="zh-CN"/>
                <w14:textFill>
                  <w14:solidFill>
                    <w14:schemeClr w14:val="tx1"/>
                  </w14:solidFill>
                </w14:textFill>
              </w:rPr>
              <w:t>）面向</w:t>
            </w:r>
            <w:r>
              <w:rPr>
                <w:rFonts w:hint="eastAsia" w:ascii="宋体" w:hAnsi="宋体" w:cs="宋体"/>
                <w:color w:val="000000" w:themeColor="text1"/>
                <w:sz w:val="21"/>
                <w:szCs w:val="21"/>
                <w:highlight w:val="none"/>
                <w14:textFill>
                  <w14:solidFill>
                    <w14:schemeClr w14:val="tx1"/>
                  </w14:solidFill>
                </w14:textFill>
              </w:rPr>
              <w:t>〖普通个人投资者和机构客户〗</w:t>
            </w:r>
            <w:r>
              <w:rPr>
                <w:rFonts w:hint="eastAsia" w:ascii="宋体" w:hAnsi="宋体" w:cs="宋体"/>
                <w:color w:val="000000" w:themeColor="text1"/>
                <w:sz w:val="21"/>
                <w:szCs w:val="21"/>
                <w:highlight w:val="none"/>
                <w:lang w:eastAsia="zh-CN"/>
                <w14:textFill>
                  <w14:solidFill>
                    <w14:schemeClr w14:val="tx1"/>
                  </w14:solidFill>
                </w14:textFill>
              </w:rPr>
              <w:t>发售。</w:t>
            </w:r>
          </w:p>
          <w:p>
            <w:pPr>
              <w:widowControl/>
              <w:spacing w:line="360" w:lineRule="auto"/>
              <w:contextualSpacing/>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B份额</w:t>
            </w:r>
            <w:r>
              <w:rPr>
                <w:rFonts w:hint="eastAsia" w:ascii="宋体" w:hAnsi="宋体" w:cs="宋体"/>
                <w:b w:val="0"/>
                <w:bCs/>
                <w:color w:val="000000" w:themeColor="text1"/>
                <w:sz w:val="21"/>
                <w:szCs w:val="21"/>
                <w:highlight w:val="none"/>
                <w:lang w:val="en-US" w:eastAsia="zh-CN"/>
                <w14:textFill>
                  <w14:solidFill>
                    <w14:schemeClr w14:val="tx1"/>
                  </w14:solidFill>
                </w14:textFill>
              </w:rPr>
              <w:t>（销售代码</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b w:val="0"/>
                <w:bCs/>
                <w:color w:val="000000" w:themeColor="text1"/>
                <w:sz w:val="21"/>
                <w:szCs w:val="21"/>
                <w:highlight w:val="none"/>
                <w:lang w:val="en-US" w:eastAsia="zh-CN"/>
                <w14:textFill>
                  <w14:solidFill>
                    <w14:schemeClr w14:val="tx1"/>
                  </w14:solidFill>
                </w14:textFill>
              </w:rPr>
              <w:t>TYGCW7D2501B</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b w:val="0"/>
                <w:bCs/>
                <w:color w:val="000000" w:themeColor="text1"/>
                <w:sz w:val="21"/>
                <w:szCs w:val="21"/>
                <w:highlight w:val="none"/>
                <w:lang w:val="en-US" w:eastAsia="zh-CN"/>
                <w14:textFill>
                  <w14:solidFill>
                    <w14:schemeClr w14:val="tx1"/>
                  </w14:solidFill>
                </w14:textFill>
              </w:rPr>
              <w:t>）面向</w:t>
            </w:r>
            <w:r>
              <w:rPr>
                <w:rFonts w:hint="eastAsia" w:ascii="宋体" w:hAnsi="宋体" w:cs="宋体"/>
                <w:color w:val="000000" w:themeColor="text1"/>
                <w:sz w:val="21"/>
                <w:szCs w:val="21"/>
                <w:highlight w:val="none"/>
                <w14:textFill>
                  <w14:solidFill>
                    <w14:schemeClr w14:val="tx1"/>
                  </w14:solidFill>
                </w14:textFill>
              </w:rPr>
              <w:t>〖普通个人投资者和机构客户〗</w:t>
            </w:r>
            <w:r>
              <w:rPr>
                <w:rFonts w:hint="eastAsia" w:ascii="宋体" w:hAnsi="宋体" w:cs="宋体"/>
                <w:color w:val="000000" w:themeColor="text1"/>
                <w:sz w:val="21"/>
                <w:szCs w:val="21"/>
                <w:highlight w:val="none"/>
                <w:lang w:eastAsia="zh-CN"/>
                <w14:textFill>
                  <w14:solidFill>
                    <w14:schemeClr w14:val="tx1"/>
                  </w14:solidFill>
                </w14:textFill>
              </w:rPr>
              <w:t>发售。</w:t>
            </w:r>
          </w:p>
          <w:p>
            <w:pPr>
              <w:widowControl/>
              <w:spacing w:line="360" w:lineRule="auto"/>
              <w:contextualSpacing/>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C份额</w:t>
            </w:r>
            <w:r>
              <w:rPr>
                <w:rFonts w:hint="eastAsia" w:ascii="宋体" w:hAnsi="宋体" w:cs="宋体"/>
                <w:b w:val="0"/>
                <w:bCs/>
                <w:color w:val="000000" w:themeColor="text1"/>
                <w:sz w:val="21"/>
                <w:szCs w:val="21"/>
                <w:highlight w:val="none"/>
                <w:lang w:val="en-US" w:eastAsia="zh-CN"/>
                <w14:textFill>
                  <w14:solidFill>
                    <w14:schemeClr w14:val="tx1"/>
                  </w14:solidFill>
                </w14:textFill>
              </w:rPr>
              <w:t>（销售代码</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b w:val="0"/>
                <w:bCs/>
                <w:color w:val="000000" w:themeColor="text1"/>
                <w:sz w:val="21"/>
                <w:szCs w:val="21"/>
                <w:highlight w:val="none"/>
                <w:lang w:val="en-US" w:eastAsia="zh-CN"/>
                <w14:textFill>
                  <w14:solidFill>
                    <w14:schemeClr w14:val="tx1"/>
                  </w14:solidFill>
                </w14:textFill>
              </w:rPr>
              <w:t>TYGCW7D2501C</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b w:val="0"/>
                <w:bCs/>
                <w:color w:val="000000" w:themeColor="text1"/>
                <w:sz w:val="21"/>
                <w:szCs w:val="21"/>
                <w:highlight w:val="none"/>
                <w:lang w:val="en-US" w:eastAsia="zh-CN"/>
                <w14:textFill>
                  <w14:solidFill>
                    <w14:schemeClr w14:val="tx1"/>
                  </w14:solidFill>
                </w14:textFill>
              </w:rPr>
              <w:t>）面向</w:t>
            </w:r>
            <w:r>
              <w:rPr>
                <w:rFonts w:hint="eastAsia" w:ascii="宋体" w:hAnsi="宋体" w:cs="宋体"/>
                <w:color w:val="000000" w:themeColor="text1"/>
                <w:sz w:val="21"/>
                <w:szCs w:val="21"/>
                <w:highlight w:val="none"/>
                <w14:textFill>
                  <w14:solidFill>
                    <w14:schemeClr w14:val="tx1"/>
                  </w14:solidFill>
                </w14:textFill>
              </w:rPr>
              <w:t>〖普通个人投资者和机构客户〗</w:t>
            </w:r>
            <w:r>
              <w:rPr>
                <w:rFonts w:hint="eastAsia" w:ascii="宋体" w:hAnsi="宋体" w:cs="宋体"/>
                <w:color w:val="000000" w:themeColor="text1"/>
                <w:sz w:val="21"/>
                <w:szCs w:val="21"/>
                <w:highlight w:val="none"/>
                <w:lang w:eastAsia="zh-CN"/>
                <w14:textFill>
                  <w14:solidFill>
                    <w14:schemeClr w14:val="tx1"/>
                  </w14:solidFill>
                </w14:textFill>
              </w:rPr>
              <w:t>发售。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发行方式</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产品类型</w:t>
            </w:r>
          </w:p>
        </w:tc>
        <w:tc>
          <w:tcPr>
            <w:tcW w:w="7185" w:type="dxa"/>
            <w:noWrap w:val="0"/>
            <w:vAlign w:val="center"/>
          </w:tcPr>
          <w:p>
            <w:pPr>
              <w:widowControl/>
              <w:spacing w:line="360" w:lineRule="auto"/>
              <w:contextualSpacing/>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固定收益</w:t>
            </w:r>
            <w:r>
              <w:rPr>
                <w:rFonts w:hint="eastAsia" w:ascii="宋体" w:hAnsi="宋体" w:cs="宋体"/>
                <w:color w:val="000000" w:themeColor="text1"/>
                <w:sz w:val="21"/>
                <w:szCs w:val="21"/>
                <w:highlight w:val="none"/>
                <w14:textFill>
                  <w14:solidFill>
                    <w14:schemeClr w14:val="tx1"/>
                  </w14:solidFill>
                </w14:textFill>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运作模式</w:t>
            </w:r>
          </w:p>
        </w:tc>
        <w:tc>
          <w:tcPr>
            <w:tcW w:w="7185" w:type="dxa"/>
            <w:noWrap w:val="0"/>
            <w:vAlign w:val="center"/>
          </w:tcPr>
          <w:p>
            <w:pPr>
              <w:widowControl/>
              <w:spacing w:line="360" w:lineRule="auto"/>
              <w:contextualSpacing/>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分级产品</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否</w:t>
            </w:r>
            <w:r>
              <w:rPr>
                <w:rFonts w:hint="eastAsia" w:ascii="宋体" w:hAnsi="宋体" w:cs="宋体"/>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销售范围</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〖全国〗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销售渠道</w:t>
            </w:r>
          </w:p>
        </w:tc>
        <w:tc>
          <w:tcPr>
            <w:tcW w:w="7185" w:type="dxa"/>
            <w:noWrap w:val="0"/>
            <w:vAlign w:val="center"/>
          </w:tcPr>
          <w:p>
            <w:pPr>
              <w:widowControl/>
              <w:spacing w:line="360" w:lineRule="auto"/>
              <w:contextualSpacing/>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可通过</w:t>
            </w:r>
            <w:r>
              <w:rPr>
                <w:rFonts w:hint="eastAsia" w:ascii="宋体" w:hAnsi="宋体" w:cs="宋体"/>
                <w:color w:val="000000" w:themeColor="text1"/>
                <w:sz w:val="21"/>
                <w:szCs w:val="21"/>
                <w:highlight w:val="none"/>
                <w:lang w:eastAsia="zh-CN"/>
                <w14:textFill>
                  <w14:solidFill>
                    <w14:schemeClr w14:val="tx1"/>
                  </w14:solidFill>
                </w14:textFill>
              </w:rPr>
              <w:t>杭银理财直销渠道和代理</w:t>
            </w:r>
            <w:r>
              <w:rPr>
                <w:rFonts w:hint="eastAsia" w:ascii="宋体" w:hAnsi="宋体" w:cs="宋体"/>
                <w:color w:val="000000" w:themeColor="text1"/>
                <w:sz w:val="21"/>
                <w:szCs w:val="21"/>
                <w:highlight w:val="none"/>
                <w14:textFill>
                  <w14:solidFill>
                    <w14:schemeClr w14:val="tx1"/>
                  </w14:solidFill>
                </w14:textFill>
              </w:rPr>
              <w:t>销售机构的〖营业网点、网上银行、手机银行〗等渠道购买</w:t>
            </w:r>
            <w:r>
              <w:rPr>
                <w:rFonts w:hint="eastAsia" w:ascii="宋体" w:hAnsi="宋体" w:cs="宋体"/>
                <w:color w:val="000000" w:themeColor="text1"/>
                <w:sz w:val="21"/>
                <w:szCs w:val="21"/>
                <w:highlight w:val="none"/>
                <w:lang w:eastAsia="zh-CN"/>
                <w14:textFill>
                  <w14:solidFill>
                    <w14:schemeClr w14:val="tx1"/>
                  </w14:solidFill>
                </w14:textFill>
              </w:rPr>
              <w:t>，通过</w:t>
            </w:r>
            <w:r>
              <w:rPr>
                <w:rFonts w:hint="eastAsia" w:ascii="宋体" w:hAnsi="宋体" w:cs="宋体"/>
                <w:color w:val="000000" w:themeColor="text1"/>
                <w:sz w:val="21"/>
                <w:szCs w:val="21"/>
                <w:highlight w:val="none"/>
                <w:lang w:val="en-US" w:eastAsia="zh-CN"/>
                <w14:textFill>
                  <w14:solidFill>
                    <w14:schemeClr w14:val="tx1"/>
                  </w14:solidFill>
                </w14:textFill>
              </w:rPr>
              <w:t>代理销售机构购买的，具体销售渠道以代理销售机构披露为准</w:t>
            </w:r>
            <w:r>
              <w:rPr>
                <w:rFonts w:hint="eastAsia" w:ascii="宋体" w:hAnsi="宋体" w:cs="宋体"/>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交易币种</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发行规模上限</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100</w:t>
            </w:r>
            <w:r>
              <w:rPr>
                <w:rFonts w:hint="eastAsia" w:ascii="宋体" w:hAnsi="宋体" w:cs="宋体"/>
                <w:color w:val="000000" w:themeColor="text1"/>
                <w:sz w:val="21"/>
                <w:szCs w:val="21"/>
                <w:highlight w:val="none"/>
                <w14:textFill>
                  <w14:solidFill>
                    <w14:schemeClr w14:val="tx1"/>
                  </w14:solidFill>
                </w14:textFill>
              </w:rPr>
              <w:t>〗亿元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认购期</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2025</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lang w:val="en-US" w:eastAsia="zh-CN"/>
                <w14:textFill>
                  <w14:solidFill>
                    <w14:schemeClr w14:val="tx1"/>
                  </w14:solidFill>
                </w14:textFill>
              </w:rPr>
              <w:t>8</w:t>
            </w:r>
            <w:r>
              <w:rPr>
                <w:rFonts w:hint="eastAsia" w:ascii="宋体" w:hAnsi="宋体" w:cs="宋体"/>
                <w:color w:val="000000" w:themeColor="text1"/>
                <w:sz w:val="21"/>
                <w:szCs w:val="21"/>
                <w:highlight w:val="none"/>
                <w14:textFill>
                  <w14:solidFill>
                    <w14:schemeClr w14:val="tx1"/>
                  </w14:solidFill>
                </w14:textFill>
              </w:rPr>
              <w:t>〗日-〖</w:t>
            </w:r>
            <w:r>
              <w:rPr>
                <w:rFonts w:hint="eastAsia" w:ascii="宋体" w:hAnsi="宋体" w:cs="宋体"/>
                <w:color w:val="000000" w:themeColor="text1"/>
                <w:sz w:val="21"/>
                <w:szCs w:val="21"/>
                <w:highlight w:val="none"/>
                <w:lang w:val="en-US" w:eastAsia="zh-CN"/>
                <w14:textFill>
                  <w14:solidFill>
                    <w14:schemeClr w14:val="tx1"/>
                  </w14:solidFill>
                </w14:textFill>
              </w:rPr>
              <w:t>2025</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lang w:val="en-US" w:eastAsia="zh-CN"/>
                <w14:textFill>
                  <w14:solidFill>
                    <w14:schemeClr w14:val="tx1"/>
                  </w14:solidFill>
                </w14:textFill>
              </w:rPr>
              <w:t>9</w:t>
            </w:r>
            <w:r>
              <w:rPr>
                <w:rFonts w:hint="eastAsia" w:ascii="宋体" w:hAnsi="宋体" w:cs="宋体"/>
                <w:color w:val="000000" w:themeColor="text1"/>
                <w:sz w:val="21"/>
                <w:szCs w:val="21"/>
                <w:highlight w:val="none"/>
                <w14:textFill>
                  <w14:solidFill>
                    <w14:schemeClr w14:val="tx1"/>
                  </w14:solidFill>
                </w14:textFill>
              </w:rPr>
              <w:t>〗日</w:t>
            </w: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认购时间</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认购期首日〖9：00〗至认购结束日〖17：00〗</w:t>
            </w: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成立日</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2025</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lang w:val="en-US" w:eastAsia="zh-CN"/>
                <w14:textFill>
                  <w14:solidFill>
                    <w14:schemeClr w14:val="tx1"/>
                  </w14:solidFill>
                </w14:textFill>
              </w:rPr>
              <w:t>10</w:t>
            </w:r>
            <w:r>
              <w:rPr>
                <w:rFonts w:hint="eastAsia" w:ascii="宋体" w:hAnsi="宋体" w:cs="宋体"/>
                <w:color w:val="000000" w:themeColor="text1"/>
                <w:sz w:val="21"/>
                <w:szCs w:val="21"/>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理财期限</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无固定期限</w:t>
            </w:r>
            <w:r>
              <w:rPr>
                <w:rFonts w:hint="eastAsia" w:ascii="宋体" w:hAnsi="宋体" w:cs="宋体"/>
                <w:color w:val="000000" w:themeColor="text1"/>
                <w:sz w:val="21"/>
                <w:szCs w:val="21"/>
                <w:highlight w:val="none"/>
                <w14:textFill>
                  <w14:solidFill>
                    <w14:schemeClr w14:val="tx1"/>
                  </w14:solidFill>
                </w14:textFill>
              </w:rPr>
              <w:t>（实际理财期限受制于管理人提前终止权等条款）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封闭期</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2025</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lang w:val="en-US" w:eastAsia="zh-CN"/>
                <w14:textFill>
                  <w14:solidFill>
                    <w14:schemeClr w14:val="tx1"/>
                  </w14:solidFill>
                </w14:textFill>
              </w:rPr>
              <w:t>10</w:t>
            </w:r>
            <w:r>
              <w:rPr>
                <w:rFonts w:hint="eastAsia" w:ascii="宋体" w:hAnsi="宋体" w:cs="宋体"/>
                <w:color w:val="000000" w:themeColor="text1"/>
                <w:sz w:val="21"/>
                <w:szCs w:val="21"/>
                <w:highlight w:val="none"/>
                <w14:textFill>
                  <w14:solidFill>
                    <w14:schemeClr w14:val="tx1"/>
                  </w14:solidFill>
                </w14:textFill>
              </w:rPr>
              <w:t>〗日-〖</w:t>
            </w:r>
            <w:r>
              <w:rPr>
                <w:rFonts w:hint="eastAsia" w:ascii="宋体" w:hAnsi="宋体" w:cs="宋体"/>
                <w:color w:val="000000" w:themeColor="text1"/>
                <w:sz w:val="21"/>
                <w:szCs w:val="21"/>
                <w:highlight w:val="none"/>
                <w:lang w:val="en-US" w:eastAsia="zh-CN"/>
                <w14:textFill>
                  <w14:solidFill>
                    <w14:schemeClr w14:val="tx1"/>
                  </w14:solidFill>
                </w14:textFill>
              </w:rPr>
              <w:t>2025</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lang w:val="en-US" w:eastAsia="zh-CN"/>
                <w14:textFill>
                  <w14:solidFill>
                    <w14:schemeClr w14:val="tx1"/>
                  </w14:solidFill>
                </w14:textFill>
              </w:rPr>
              <w:t>23</w:t>
            </w:r>
            <w:r>
              <w:rPr>
                <w:rFonts w:hint="eastAsia" w:ascii="宋体" w:hAnsi="宋体" w:cs="宋体"/>
                <w:color w:val="000000" w:themeColor="text1"/>
                <w:sz w:val="21"/>
                <w:szCs w:val="21"/>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认购/申购</w:t>
            </w:r>
          </w:p>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起点金额</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A</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〗起点〖</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〗元整，超过认购/申购起点部分，应为〖</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〗元的整数倍。</w:t>
            </w:r>
          </w:p>
          <w:p>
            <w:pPr>
              <w:widowControl/>
              <w:spacing w:line="360" w:lineRule="auto"/>
              <w:contextualSpacing/>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B</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〗起点〖</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〗元整，超过认购/申购起点部分，应为〖</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〗元的整数倍。</w:t>
            </w:r>
          </w:p>
          <w:p>
            <w:pPr>
              <w:widowControl/>
              <w:spacing w:line="360" w:lineRule="auto"/>
              <w:contextualSpacing/>
              <w:rPr>
                <w:rFonts w:hint="eastAsia" w:ascii="宋体" w:hAnsi="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C</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〗起点〖</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〗元整，超过认购/申购起点部分，应为〖</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〗元的整数倍。</w:t>
            </w:r>
          </w:p>
          <w:p>
            <w:pPr>
              <w:widowControl/>
              <w:spacing w:line="360" w:lineRule="auto"/>
              <w:contextualSpacing/>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p>
            <w:pPr>
              <w:widowControl/>
              <w:spacing w:line="360" w:lineRule="auto"/>
              <w:contextualSpacing/>
              <w:rPr>
                <w:rFonts w:hint="eastAsia" w:ascii="宋体" w:hAnsi="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投资者全部赎回不再持有本理财计划份额后再次申购，视同首次申购处理。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认购份额</w:t>
            </w:r>
          </w:p>
        </w:tc>
        <w:tc>
          <w:tcPr>
            <w:tcW w:w="7185" w:type="dxa"/>
            <w:noWrap w:val="0"/>
            <w:vAlign w:val="center"/>
          </w:tcPr>
          <w:p>
            <w:pPr>
              <w:widowControl/>
              <w:spacing w:line="360" w:lineRule="auto"/>
              <w:contextualSpacing/>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认购份额=认购金额</w:t>
            </w:r>
            <w:r>
              <w:rPr>
                <w:rFonts w:hint="eastAsia" w:ascii="宋体" w:hAnsi="宋体" w:cs="宋体"/>
                <w:bCs/>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产品成立</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cs="宋体"/>
                <w:color w:val="000000" w:themeColor="text1"/>
                <w:sz w:val="21"/>
                <w:szCs w:val="21"/>
                <w:highlight w:val="none"/>
                <w:lang w:val="en-US" w:eastAsia="zh-CN"/>
                <w14:textFill>
                  <w14:solidFill>
                    <w14:schemeClr w14:val="tx1"/>
                  </w14:solidFill>
                </w14:textFill>
              </w:rPr>
              <w:t>2000</w:t>
            </w:r>
            <w:r>
              <w:rPr>
                <w:rFonts w:hint="eastAsia" w:ascii="宋体" w:hAnsi="宋体" w:cs="宋体"/>
                <w:color w:val="000000" w:themeColor="text1"/>
                <w:sz w:val="21"/>
                <w:szCs w:val="21"/>
                <w:highlight w:val="none"/>
                <w14:textFill>
                  <w14:solidFill>
                    <w14:schemeClr w14:val="tx1"/>
                  </w14:solidFill>
                </w14:textFill>
              </w:rPr>
              <w:t>〗万元，则管理人可宣布本理财计划不成立并在原定理财计划成立日后〖2〗个工作日内通过管理人或销售机构发布不成立信息，投资者购买的理财资金将在原定成立日后2个工作日内划转至投资者指定理财账户，</w:t>
            </w:r>
            <w:r>
              <w:rPr>
                <w:rFonts w:hint="eastAsia" w:ascii="宋体" w:hAnsi="宋体" w:cs="宋体"/>
                <w:b/>
                <w:color w:val="000000" w:themeColor="text1"/>
                <w:sz w:val="21"/>
                <w:szCs w:val="21"/>
                <w:highlight w:val="none"/>
                <w14:textFill>
                  <w14:solidFill>
                    <w14:schemeClr w14:val="tx1"/>
                  </w14:solidFill>
                </w14:textFill>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开放期</w:t>
            </w:r>
          </w:p>
        </w:tc>
        <w:tc>
          <w:tcPr>
            <w:tcW w:w="7185" w:type="dxa"/>
            <w:noWrap w:val="0"/>
            <w:vAlign w:val="center"/>
          </w:tcPr>
          <w:p>
            <w:pPr>
              <w:widowControl/>
              <w:spacing w:line="360" w:lineRule="auto"/>
              <w:contextualSpacing/>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本</w:t>
            </w:r>
            <w:r>
              <w:rPr>
                <w:rFonts w:hint="eastAsia" w:ascii="宋体" w:hAnsi="宋体" w:cs="宋体"/>
                <w:color w:val="000000" w:themeColor="text1"/>
                <w:sz w:val="21"/>
                <w:szCs w:val="21"/>
                <w:highlight w:val="none"/>
                <w14:textFill>
                  <w14:solidFill>
                    <w14:schemeClr w14:val="tx1"/>
                  </w14:solidFill>
                </w14:textFill>
              </w:rPr>
              <w:t>理财计划</w:t>
            </w:r>
            <w:r>
              <w:rPr>
                <w:rFonts w:hint="eastAsia" w:ascii="宋体" w:hAnsi="宋体" w:cs="宋体"/>
                <w:color w:val="000000" w:themeColor="text1"/>
                <w:sz w:val="21"/>
                <w:szCs w:val="21"/>
                <w:highlight w:val="none"/>
                <w:lang w:val="en-US" w:eastAsia="zh-CN"/>
                <w14:textFill>
                  <w14:solidFill>
                    <w14:schemeClr w14:val="tx1"/>
                  </w14:solidFill>
                </w14:textFill>
              </w:rPr>
              <w:t>的开放期为</w:t>
            </w:r>
            <w:r>
              <w:rPr>
                <w:rFonts w:hint="eastAsia" w:ascii="宋体" w:hAnsi="宋体" w:cs="宋体"/>
                <w:color w:val="000000" w:themeColor="text1"/>
                <w:sz w:val="21"/>
                <w:szCs w:val="21"/>
                <w:highlight w:val="none"/>
                <w14:textFill>
                  <w14:solidFill>
                    <w14:schemeClr w14:val="tx1"/>
                  </w14:solidFill>
                </w14:textFill>
              </w:rPr>
              <w:t>〖封闭期后的</w:t>
            </w:r>
            <w:r>
              <w:rPr>
                <w:rFonts w:hint="eastAsia" w:ascii="宋体" w:hAnsi="宋体" w:cs="宋体"/>
                <w:color w:val="000000" w:themeColor="text1"/>
                <w:sz w:val="21"/>
                <w:szCs w:val="21"/>
                <w:highlight w:val="none"/>
                <w:lang w:val="en-US" w:eastAsia="zh-CN"/>
                <w14:textFill>
                  <w14:solidFill>
                    <w14:schemeClr w14:val="tx1"/>
                  </w14:solidFill>
                </w14:textFill>
              </w:rPr>
              <w:t>每个</w:t>
            </w:r>
            <w:r>
              <w:rPr>
                <w:rFonts w:hint="eastAsia" w:ascii="宋体" w:hAnsi="宋体" w:cs="宋体"/>
                <w:color w:val="000000" w:themeColor="text1"/>
                <w:sz w:val="21"/>
                <w:szCs w:val="21"/>
                <w:highlight w:val="none"/>
                <w14:textFill>
                  <w14:solidFill>
                    <w14:schemeClr w14:val="tx1"/>
                  </w14:solidFill>
                </w14:textFill>
              </w:rPr>
              <w:t>交易日〗。</w:t>
            </w:r>
            <w:r>
              <w:rPr>
                <w:rFonts w:hint="eastAsia" w:ascii="宋体" w:hAnsi="宋体" w:cs="宋体"/>
                <w:color w:val="000000" w:themeColor="text1"/>
                <w:sz w:val="21"/>
                <w:szCs w:val="21"/>
                <w:highlight w:val="none"/>
                <w:lang w:val="en-US" w:eastAsia="zh-CN"/>
                <w14:textFill>
                  <w14:solidFill>
                    <w14:schemeClr w14:val="tx1"/>
                  </w14:solidFill>
                </w14:textFill>
              </w:rPr>
              <w:t>如遇特殊情况，则以管理人公告为准。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持有期</w:t>
            </w:r>
          </w:p>
        </w:tc>
        <w:tc>
          <w:tcPr>
            <w:tcW w:w="7185" w:type="dxa"/>
            <w:noWrap w:val="0"/>
            <w:vAlign w:val="center"/>
          </w:tcPr>
          <w:p>
            <w:pPr>
              <w:widowControl/>
              <w:spacing w:line="360" w:lineRule="auto"/>
              <w:contextualSpacing/>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本理财计划的持有期为</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天，投资者认购/申购份额确认成功后，每一笔份额需自理财计划成立日（含）/确认日（含）起最低持有满</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天后方可按规则申请赎回。如投资者多次购买理财计划，其中持有</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天及以上的份额，可申请赎回；持有</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天以内的份额，不可申请赎回。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交易时间</w:t>
            </w:r>
          </w:p>
        </w:tc>
        <w:tc>
          <w:tcPr>
            <w:tcW w:w="7185" w:type="dxa"/>
            <w:noWrap w:val="0"/>
            <w:vAlign w:val="center"/>
          </w:tcPr>
          <w:p>
            <w:pPr>
              <w:widowControl/>
              <w:spacing w:line="360" w:lineRule="auto"/>
              <w:contextualSpacing/>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1.本理财计划在每个开放期的开放日工作时间均可进行申购，申购申请将在确认日，即</w:t>
            </w:r>
            <w:r>
              <w:rPr>
                <w:rFonts w:hint="eastAsia" w:ascii="宋体" w:hAnsi="宋体" w:cs="宋体"/>
                <w:color w:val="000000" w:themeColor="text1"/>
                <w:sz w:val="21"/>
                <w:szCs w:val="21"/>
                <w:highlight w:val="none"/>
                <w:lang w:val="en-US" w:eastAsia="zh-CN"/>
                <w14:textFill>
                  <w14:solidFill>
                    <w14:schemeClr w14:val="tx1"/>
                  </w14:solidFill>
                </w14:textFill>
              </w:rPr>
              <w:t>申购申请日</w:t>
            </w:r>
            <w:r>
              <w:rPr>
                <w:rFonts w:hint="eastAsia" w:ascii="宋体" w:hAnsi="宋体" w:cs="宋体"/>
                <w:color w:val="000000" w:themeColor="text1"/>
                <w:sz w:val="21"/>
                <w:szCs w:val="21"/>
                <w:highlight w:val="none"/>
                <w14:textFill>
                  <w14:solidFill>
                    <w14:schemeClr w14:val="tx1"/>
                  </w14:solidFill>
                </w14:textFill>
              </w:rPr>
              <w:t>后的第〖1〗个</w:t>
            </w:r>
            <w:r>
              <w:rPr>
                <w:rFonts w:hint="eastAsia" w:ascii="宋体" w:hAnsi="宋体" w:cs="宋体"/>
                <w:color w:val="000000" w:themeColor="text1"/>
                <w:sz w:val="21"/>
                <w:szCs w:val="21"/>
                <w:highlight w:val="none"/>
                <w:lang w:val="en-US" w:eastAsia="zh-CN"/>
                <w14:textFill>
                  <w14:solidFill>
                    <w14:schemeClr w14:val="tx1"/>
                  </w14:solidFill>
                </w14:textFill>
              </w:rPr>
              <w:t>交易</w:t>
            </w:r>
            <w:r>
              <w:rPr>
                <w:rFonts w:hint="eastAsia" w:ascii="宋体" w:hAnsi="宋体" w:cs="宋体"/>
                <w:bCs/>
                <w:color w:val="000000" w:themeColor="text1"/>
                <w:sz w:val="21"/>
                <w:szCs w:val="21"/>
                <w:highlight w:val="none"/>
                <w14:textFill>
                  <w14:solidFill>
                    <w14:schemeClr w14:val="tx1"/>
                  </w14:solidFill>
                </w14:textFill>
              </w:rPr>
              <w:t>日进行确认。</w:t>
            </w:r>
            <w:r>
              <w:rPr>
                <w:rFonts w:hint="eastAsia" w:ascii="宋体" w:hAnsi="宋体" w:cs="宋体"/>
                <w:color w:val="000000" w:themeColor="text1"/>
                <w:sz w:val="21"/>
                <w:szCs w:val="21"/>
                <w:highlight w:val="none"/>
                <w14:textFill>
                  <w14:solidFill>
                    <w14:schemeClr w14:val="tx1"/>
                  </w14:solidFill>
                </w14:textFill>
              </w:rPr>
              <w:t>确认日如遇非</w:t>
            </w:r>
            <w:r>
              <w:rPr>
                <w:rFonts w:hint="eastAsia" w:ascii="宋体" w:hAnsi="宋体" w:cs="宋体"/>
                <w:color w:val="000000" w:themeColor="text1"/>
                <w:sz w:val="21"/>
                <w:szCs w:val="21"/>
                <w:highlight w:val="none"/>
                <w:lang w:val="en-US" w:eastAsia="zh-CN"/>
                <w14:textFill>
                  <w14:solidFill>
                    <w14:schemeClr w14:val="tx1"/>
                  </w14:solidFill>
                </w14:textFill>
              </w:rPr>
              <w:t>交易</w:t>
            </w:r>
            <w:r>
              <w:rPr>
                <w:rFonts w:hint="eastAsia" w:ascii="宋体" w:hAnsi="宋体" w:cs="宋体"/>
                <w:color w:val="000000" w:themeColor="text1"/>
                <w:sz w:val="21"/>
                <w:szCs w:val="21"/>
                <w:highlight w:val="none"/>
                <w14:textFill>
                  <w14:solidFill>
                    <w14:schemeClr w14:val="tx1"/>
                  </w14:solidFill>
                </w14:textFill>
              </w:rPr>
              <w:t>日，则顺延至〖下一</w:t>
            </w:r>
            <w:r>
              <w:rPr>
                <w:rFonts w:hint="eastAsia" w:ascii="宋体" w:hAnsi="宋体" w:cs="宋体"/>
                <w:color w:val="000000" w:themeColor="text1"/>
                <w:sz w:val="21"/>
                <w:szCs w:val="21"/>
                <w:highlight w:val="none"/>
                <w:lang w:val="en-US" w:eastAsia="zh-CN"/>
                <w14:textFill>
                  <w14:solidFill>
                    <w14:schemeClr w14:val="tx1"/>
                  </w14:solidFill>
                </w14:textFill>
              </w:rPr>
              <w:t>交易</w:t>
            </w:r>
            <w:r>
              <w:rPr>
                <w:rFonts w:hint="eastAsia" w:ascii="宋体" w:hAnsi="宋体" w:cs="宋体"/>
                <w:color w:val="000000" w:themeColor="text1"/>
                <w:sz w:val="21"/>
                <w:szCs w:val="21"/>
                <w:highlight w:val="none"/>
                <w14:textFill>
                  <w14:solidFill>
                    <w14:schemeClr w14:val="tx1"/>
                  </w14:solidFill>
                </w14:textFill>
              </w:rPr>
              <w:t>日〗。</w:t>
            </w:r>
          </w:p>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满足最低持有期后，本理财计划在每个开放期的开放日工作时间均可进行赎回，赎回申请将在确认日，即赎回申请日后的第</w:t>
            </w:r>
            <w:r>
              <w:rPr>
                <w:rFonts w:hint="eastAsia" w:ascii="宋体" w:hAnsi="宋体" w:cs="宋体"/>
                <w:color w:val="000000" w:themeColor="text1"/>
                <w:sz w:val="21"/>
                <w:szCs w:val="21"/>
                <w:highlight w:val="none"/>
                <w14:textFill>
                  <w14:solidFill>
                    <w14:schemeClr w14:val="tx1"/>
                  </w14:solidFill>
                </w14:textFill>
              </w:rPr>
              <w:t>〖1〗个</w:t>
            </w:r>
            <w:r>
              <w:rPr>
                <w:rFonts w:hint="eastAsia" w:ascii="宋体" w:hAnsi="宋体" w:cs="宋体"/>
                <w:color w:val="000000" w:themeColor="text1"/>
                <w:sz w:val="21"/>
                <w:szCs w:val="21"/>
                <w:highlight w:val="none"/>
                <w:lang w:val="en-US" w:eastAsia="zh-CN"/>
                <w14:textFill>
                  <w14:solidFill>
                    <w14:schemeClr w14:val="tx1"/>
                  </w14:solidFill>
                </w14:textFill>
              </w:rPr>
              <w:t>交易</w:t>
            </w:r>
            <w:r>
              <w:rPr>
                <w:rFonts w:hint="eastAsia" w:ascii="宋体" w:hAnsi="宋体" w:cs="宋体"/>
                <w:bCs/>
                <w:color w:val="000000" w:themeColor="text1"/>
                <w:sz w:val="21"/>
                <w:szCs w:val="21"/>
                <w:highlight w:val="none"/>
                <w14:textFill>
                  <w14:solidFill>
                    <w14:schemeClr w14:val="tx1"/>
                  </w14:solidFill>
                </w14:textFill>
              </w:rPr>
              <w:t>日进行确认。</w:t>
            </w:r>
            <w:r>
              <w:rPr>
                <w:rFonts w:hint="eastAsia" w:ascii="宋体" w:hAnsi="宋体" w:cs="宋体"/>
                <w:color w:val="000000" w:themeColor="text1"/>
                <w:sz w:val="21"/>
                <w:szCs w:val="21"/>
                <w:highlight w:val="none"/>
                <w14:textFill>
                  <w14:solidFill>
                    <w14:schemeClr w14:val="tx1"/>
                  </w14:solidFill>
                </w14:textFill>
              </w:rPr>
              <w:t>确认日如遇非</w:t>
            </w:r>
            <w:r>
              <w:rPr>
                <w:rFonts w:hint="eastAsia" w:ascii="宋体" w:hAnsi="宋体" w:cs="宋体"/>
                <w:color w:val="000000" w:themeColor="text1"/>
                <w:sz w:val="21"/>
                <w:szCs w:val="21"/>
                <w:highlight w:val="none"/>
                <w:lang w:val="en-US" w:eastAsia="zh-CN"/>
                <w14:textFill>
                  <w14:solidFill>
                    <w14:schemeClr w14:val="tx1"/>
                  </w14:solidFill>
                </w14:textFill>
              </w:rPr>
              <w:t>交易</w:t>
            </w:r>
            <w:r>
              <w:rPr>
                <w:rFonts w:hint="eastAsia" w:ascii="宋体" w:hAnsi="宋体" w:cs="宋体"/>
                <w:color w:val="000000" w:themeColor="text1"/>
                <w:sz w:val="21"/>
                <w:szCs w:val="21"/>
                <w:highlight w:val="none"/>
                <w14:textFill>
                  <w14:solidFill>
                    <w14:schemeClr w14:val="tx1"/>
                  </w14:solidFill>
                </w14:textFill>
              </w:rPr>
              <w:t>日，则顺延至〖下一</w:t>
            </w:r>
            <w:r>
              <w:rPr>
                <w:rFonts w:hint="eastAsia" w:ascii="宋体" w:hAnsi="宋体" w:cs="宋体"/>
                <w:color w:val="000000" w:themeColor="text1"/>
                <w:sz w:val="21"/>
                <w:szCs w:val="21"/>
                <w:highlight w:val="none"/>
                <w:lang w:val="en-US" w:eastAsia="zh-CN"/>
                <w14:textFill>
                  <w14:solidFill>
                    <w14:schemeClr w14:val="tx1"/>
                  </w14:solidFill>
                </w14:textFill>
              </w:rPr>
              <w:t>交易</w:t>
            </w:r>
            <w:r>
              <w:rPr>
                <w:rFonts w:hint="eastAsia" w:ascii="宋体" w:hAnsi="宋体" w:cs="宋体"/>
                <w:color w:val="000000" w:themeColor="text1"/>
                <w:sz w:val="21"/>
                <w:szCs w:val="21"/>
                <w:highlight w:val="none"/>
                <w14:textFill>
                  <w14:solidFill>
                    <w14:schemeClr w14:val="tx1"/>
                  </w14:solidFill>
                </w14:textFill>
              </w:rPr>
              <w:t>日〗。</w:t>
            </w:r>
          </w:p>
          <w:p>
            <w:pPr>
              <w:widowControl/>
              <w:spacing w:line="360" w:lineRule="auto"/>
              <w:contextualSpacing/>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工作时间为每个</w:t>
            </w:r>
            <w:r>
              <w:rPr>
                <w:rFonts w:hint="eastAsia" w:ascii="宋体" w:hAnsi="宋体" w:cs="宋体"/>
                <w:color w:val="000000" w:themeColor="text1"/>
                <w:sz w:val="21"/>
                <w:szCs w:val="21"/>
                <w:highlight w:val="none"/>
                <w:lang w:val="en-US" w:eastAsia="zh-CN"/>
                <w14:textFill>
                  <w14:solidFill>
                    <w14:schemeClr w14:val="tx1"/>
                  </w14:solidFill>
                </w14:textFill>
              </w:rPr>
              <w:t>交易日</w:t>
            </w:r>
            <w:r>
              <w:rPr>
                <w:rFonts w:hint="eastAsia" w:ascii="宋体" w:hAnsi="宋体" w:cs="宋体"/>
                <w:color w:val="000000" w:themeColor="text1"/>
                <w:sz w:val="21"/>
                <w:szCs w:val="21"/>
                <w:highlight w:val="none"/>
                <w14:textFill>
                  <w14:solidFill>
                    <w14:schemeClr w14:val="tx1"/>
                  </w14:solidFill>
                </w14:textFill>
              </w:rPr>
              <w:t>上午〖9:00〗至下午〖17:00〗。确认日如遇非</w:t>
            </w:r>
            <w:r>
              <w:rPr>
                <w:rFonts w:hint="eastAsia" w:ascii="宋体" w:hAnsi="宋体" w:cs="宋体"/>
                <w:color w:val="000000" w:themeColor="text1"/>
                <w:sz w:val="21"/>
                <w:szCs w:val="21"/>
                <w:highlight w:val="none"/>
                <w:lang w:val="en-US" w:eastAsia="zh-CN"/>
                <w14:textFill>
                  <w14:solidFill>
                    <w14:schemeClr w14:val="tx1"/>
                  </w14:solidFill>
                </w14:textFill>
              </w:rPr>
              <w:t>交易日</w:t>
            </w:r>
            <w:r>
              <w:rPr>
                <w:rFonts w:hint="eastAsia" w:ascii="宋体" w:hAnsi="宋体" w:cs="宋体"/>
                <w:color w:val="000000" w:themeColor="text1"/>
                <w:sz w:val="21"/>
                <w:szCs w:val="21"/>
                <w:highlight w:val="none"/>
                <w14:textFill>
                  <w14:solidFill>
                    <w14:schemeClr w14:val="tx1"/>
                  </w14:solidFill>
                </w14:textFill>
              </w:rPr>
              <w:t>，则顺延至〖下一</w:t>
            </w:r>
            <w:r>
              <w:rPr>
                <w:rFonts w:hint="eastAsia" w:ascii="宋体" w:hAnsi="宋体" w:cs="宋体"/>
                <w:color w:val="000000" w:themeColor="text1"/>
                <w:sz w:val="21"/>
                <w:szCs w:val="21"/>
                <w:highlight w:val="none"/>
                <w:lang w:val="en-US" w:eastAsia="zh-CN"/>
                <w14:textFill>
                  <w14:solidFill>
                    <w14:schemeClr w14:val="tx1"/>
                  </w14:solidFill>
                </w14:textFill>
              </w:rPr>
              <w:t>交易</w:t>
            </w:r>
            <w:r>
              <w:rPr>
                <w:rFonts w:hint="eastAsia" w:ascii="宋体" w:hAnsi="宋体" w:cs="宋体"/>
                <w:color w:val="000000" w:themeColor="text1"/>
                <w:sz w:val="21"/>
                <w:szCs w:val="21"/>
                <w:highlight w:val="none"/>
                <w14:textFill>
                  <w14:solidFill>
                    <w14:schemeClr w14:val="tx1"/>
                  </w14:solidFill>
                </w14:textFill>
              </w:rPr>
              <w:t>日〗。</w:t>
            </w: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p>
            <w:pPr>
              <w:widowControl/>
              <w:spacing w:line="360" w:lineRule="auto"/>
              <w:contextualSpacing/>
              <w:rPr>
                <w:rFonts w:hint="default"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4.在</w:t>
            </w:r>
            <w:r>
              <w:rPr>
                <w:rFonts w:hint="eastAsia" w:ascii="宋体" w:hAnsi="宋体" w:cs="宋体"/>
                <w:color w:val="000000" w:themeColor="text1"/>
                <w:sz w:val="21"/>
                <w:szCs w:val="21"/>
                <w:highlight w:val="none"/>
                <w:lang w:val="en-US" w:eastAsia="zh-CN"/>
                <w14:textFill>
                  <w14:solidFill>
                    <w14:schemeClr w14:val="tx1"/>
                  </w14:solidFill>
                </w14:textFill>
              </w:rPr>
              <w:t>交易日的</w:t>
            </w:r>
            <w:r>
              <w:rPr>
                <w:rFonts w:hint="eastAsia" w:ascii="宋体" w:hAnsi="宋体" w:cs="宋体"/>
                <w:color w:val="000000" w:themeColor="text1"/>
                <w:sz w:val="21"/>
                <w:szCs w:val="21"/>
                <w:highlight w:val="none"/>
                <w14:textFill>
                  <w14:solidFill>
                    <w14:schemeClr w14:val="tx1"/>
                  </w14:solidFill>
                </w14:textFill>
              </w:rPr>
              <w:t>〖17:00〗</w:t>
            </w:r>
            <w:r>
              <w:rPr>
                <w:rFonts w:hint="eastAsia" w:ascii="宋体" w:hAnsi="宋体" w:cs="宋体"/>
                <w:bCs/>
                <w:color w:val="000000" w:themeColor="text1"/>
                <w:sz w:val="21"/>
                <w:szCs w:val="21"/>
                <w:highlight w:val="none"/>
                <w:lang w:val="en-US" w:eastAsia="zh-CN"/>
                <w14:textFill>
                  <w14:solidFill>
                    <w14:schemeClr w14:val="tx1"/>
                  </w14:solidFill>
                </w14:textFill>
              </w:rPr>
              <w:t>之前提交的申购和赎回申请，申请日为提出申请当日；在</w:t>
            </w:r>
            <w:r>
              <w:rPr>
                <w:rFonts w:hint="eastAsia" w:ascii="宋体" w:hAnsi="宋体" w:cs="宋体"/>
                <w:color w:val="000000" w:themeColor="text1"/>
                <w:kern w:val="2"/>
                <w:sz w:val="21"/>
                <w:szCs w:val="21"/>
                <w:highlight w:val="none"/>
                <w:lang w:val="en-US" w:eastAsia="zh-CN"/>
                <w14:textFill>
                  <w14:solidFill>
                    <w14:schemeClr w14:val="tx1"/>
                  </w14:solidFill>
                </w14:textFill>
              </w:rPr>
              <w:t>交易日</w:t>
            </w:r>
            <w:r>
              <w:rPr>
                <w:rFonts w:hint="eastAsia" w:ascii="宋体" w:hAnsi="宋体" w:cs="宋体"/>
                <w:bCs/>
                <w:color w:val="000000" w:themeColor="text1"/>
                <w:sz w:val="21"/>
                <w:szCs w:val="21"/>
                <w:highlight w:val="none"/>
                <w:lang w:val="en-US" w:eastAsia="zh-CN"/>
                <w14:textFill>
                  <w14:solidFill>
                    <w14:schemeClr w14:val="tx1"/>
                  </w14:solidFill>
                </w14:textFill>
              </w:rPr>
              <w:t>的</w:t>
            </w:r>
            <w:r>
              <w:rPr>
                <w:rFonts w:hint="eastAsia" w:ascii="宋体" w:hAnsi="宋体" w:cs="宋体"/>
                <w:color w:val="000000" w:themeColor="text1"/>
                <w:sz w:val="21"/>
                <w:szCs w:val="21"/>
                <w:highlight w:val="none"/>
                <w14:textFill>
                  <w14:solidFill>
                    <w14:schemeClr w14:val="tx1"/>
                  </w14:solidFill>
                </w14:textFill>
              </w:rPr>
              <w:t>〖17:00〗</w:t>
            </w:r>
            <w:r>
              <w:rPr>
                <w:rFonts w:hint="eastAsia" w:ascii="宋体" w:hAnsi="宋体" w:cs="宋体"/>
                <w:bCs/>
                <w:color w:val="000000" w:themeColor="text1"/>
                <w:sz w:val="21"/>
                <w:szCs w:val="21"/>
                <w:highlight w:val="none"/>
                <w:lang w:val="en-US" w:eastAsia="zh-CN"/>
                <w14:textFill>
                  <w14:solidFill>
                    <w14:schemeClr w14:val="tx1"/>
                  </w14:solidFill>
                </w14:textFill>
              </w:rPr>
              <w:t>之后提交的申购和赎回申请，申请日为提出申请日的</w:t>
            </w:r>
            <w:r>
              <w:rPr>
                <w:rFonts w:hint="eastAsia" w:ascii="宋体" w:hAnsi="宋体" w:cs="宋体"/>
                <w:color w:val="000000" w:themeColor="text1"/>
                <w:sz w:val="21"/>
                <w:szCs w:val="21"/>
                <w:highlight w:val="none"/>
                <w14:textFill>
                  <w14:solidFill>
                    <w14:schemeClr w14:val="tx1"/>
                  </w14:solidFill>
                </w14:textFill>
              </w:rPr>
              <w:t>〖下一</w:t>
            </w:r>
            <w:r>
              <w:rPr>
                <w:rFonts w:hint="eastAsia" w:ascii="宋体" w:hAnsi="宋体" w:cs="宋体"/>
                <w:color w:val="000000" w:themeColor="text1"/>
                <w:kern w:val="2"/>
                <w:sz w:val="21"/>
                <w:szCs w:val="21"/>
                <w:highlight w:val="none"/>
                <w:lang w:val="en-US" w:eastAsia="zh-CN"/>
                <w14:textFill>
                  <w14:solidFill>
                    <w14:schemeClr w14:val="tx1"/>
                  </w14:solidFill>
                </w14:textFill>
              </w:rPr>
              <w:t>交易</w:t>
            </w:r>
            <w:r>
              <w:rPr>
                <w:rFonts w:hint="eastAsia" w:ascii="宋体" w:hAnsi="宋体" w:cs="宋体"/>
                <w:color w:val="000000" w:themeColor="text1"/>
                <w:sz w:val="21"/>
                <w:szCs w:val="21"/>
                <w:highlight w:val="none"/>
                <w14:textFill>
                  <w14:solidFill>
                    <w14:schemeClr w14:val="tx1"/>
                  </w14:solidFill>
                </w14:textFill>
              </w:rPr>
              <w:t>日〗。</w:t>
            </w:r>
          </w:p>
          <w:p>
            <w:pPr>
              <w:widowControl/>
              <w:spacing w:line="360" w:lineRule="auto"/>
              <w:contextualSpacing/>
              <w:rPr>
                <w:rFonts w:hint="default"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5.募集期/开放期内提交的交易申请，在理财计划成立日/确认日前一交易日下午</w:t>
            </w:r>
            <w:r>
              <w:rPr>
                <w:rFonts w:hint="eastAsia" w:ascii="宋体" w:hAnsi="宋体" w:cs="宋体"/>
                <w:color w:val="000000" w:themeColor="text1"/>
                <w:sz w:val="21"/>
                <w:szCs w:val="21"/>
                <w:highlight w:val="none"/>
                <w14:textFill>
                  <w14:solidFill>
                    <w14:schemeClr w14:val="tx1"/>
                  </w14:solidFill>
                </w14:textFill>
              </w:rPr>
              <w:t>〖17:00〗</w:t>
            </w:r>
            <w:r>
              <w:rPr>
                <w:rFonts w:hint="eastAsia" w:ascii="宋体" w:hAnsi="宋体" w:cs="宋体"/>
                <w:color w:val="000000" w:themeColor="text1"/>
                <w:kern w:val="0"/>
                <w:sz w:val="21"/>
                <w:szCs w:val="21"/>
                <w:highlight w:val="none"/>
                <w:lang w:val="en-US" w:eastAsia="zh-CN"/>
                <w14:textFill>
                  <w14:solidFill>
                    <w14:schemeClr w14:val="tx1"/>
                  </w14:solidFill>
                </w14:textFill>
              </w:rPr>
              <w:t>之前可以撤单。</w:t>
            </w: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p>
            <w:pPr>
              <w:widowControl/>
              <w:spacing w:line="360" w:lineRule="auto"/>
              <w:contextualSpacing/>
              <w:rPr>
                <w:rFonts w:hint="default" w:ascii="宋体" w:hAnsi="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lang w:val="en-US" w:eastAsia="zh-CN"/>
                <w14:textFill>
                  <w14:solidFill>
                    <w14:schemeClr w14:val="tx1"/>
                  </w14:solidFill>
                </w14:textFill>
              </w:rPr>
              <w:t>6.上述交易安排如有调整，请以管理人公告为准。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巨额赎回</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理财计划存续期内，若理财计划开放日净赎回申请份额超过上一日日终理财计划总份额〖10%〗时，管理人有权暂停或拒绝接受赎回申请，并最迟于下一工作日进行对外公告。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单户限额</w:t>
            </w:r>
          </w:p>
        </w:tc>
        <w:tc>
          <w:tcPr>
            <w:tcW w:w="7185" w:type="dxa"/>
            <w:noWrap w:val="0"/>
            <w:vAlign w:val="center"/>
          </w:tcPr>
          <w:p>
            <w:pPr>
              <w:widowControl/>
              <w:spacing w:line="360" w:lineRule="auto"/>
              <w:contextualSpacing/>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1.单户持有份额不得超过理财计划总份额的50%。</w:t>
            </w:r>
          </w:p>
          <w:p>
            <w:pPr>
              <w:widowControl/>
              <w:spacing w:line="360" w:lineRule="auto"/>
              <w:contextualSpacing/>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2.单户持有最高</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金额</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为</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5000</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万元</w:t>
            </w:r>
            <w:r>
              <w:rPr>
                <w:rFonts w:hint="eastAsia" w:ascii="宋体" w:hAnsi="宋体" w:cs="宋体"/>
                <w:color w:val="000000" w:themeColor="text1"/>
                <w:sz w:val="21"/>
                <w:szCs w:val="21"/>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申购份额</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申购份额=申购金额÷确认日</w:t>
            </w:r>
            <w:r>
              <w:rPr>
                <w:rFonts w:hint="eastAsia" w:ascii="宋体" w:hAnsi="宋体" w:cs="宋体"/>
                <w:bCs/>
                <w:color w:val="000000" w:themeColor="text1"/>
                <w:sz w:val="21"/>
                <w:szCs w:val="21"/>
                <w:highlight w:val="none"/>
                <w:lang w:eastAsia="zh-CN"/>
                <w14:textFill>
                  <w14:solidFill>
                    <w14:schemeClr w14:val="tx1"/>
                  </w14:solidFill>
                </w14:textFill>
              </w:rPr>
              <w:t>前一</w:t>
            </w:r>
            <w:r>
              <w:rPr>
                <w:rFonts w:hint="eastAsia" w:ascii="宋体" w:hAnsi="宋体" w:cs="宋体"/>
                <w:color w:val="000000" w:themeColor="text1"/>
                <w:sz w:val="21"/>
                <w:szCs w:val="21"/>
                <w:highlight w:val="none"/>
                <w:lang w:val="en-US" w:eastAsia="zh-CN"/>
                <w14:textFill>
                  <w14:solidFill>
                    <w14:schemeClr w14:val="tx1"/>
                  </w14:solidFill>
                </w14:textFill>
              </w:rPr>
              <w:t>交易日</w:t>
            </w:r>
            <w:r>
              <w:rPr>
                <w:rFonts w:hint="eastAsia" w:ascii="宋体" w:hAnsi="宋体" w:cs="宋体"/>
                <w:bCs/>
                <w:color w:val="000000" w:themeColor="text1"/>
                <w:sz w:val="21"/>
                <w:szCs w:val="21"/>
                <w:highlight w:val="none"/>
                <w14:textFill>
                  <w14:solidFill>
                    <w14:schemeClr w14:val="tx1"/>
                  </w14:solidFill>
                </w14:textFill>
              </w:rPr>
              <w:t>的单位净值。申购</w:t>
            </w:r>
            <w:r>
              <w:rPr>
                <w:rFonts w:hint="eastAsia" w:ascii="宋体" w:hAnsi="宋体" w:cs="宋体"/>
                <w:color w:val="000000" w:themeColor="text1"/>
                <w:sz w:val="21"/>
                <w:szCs w:val="21"/>
                <w:highlight w:val="none"/>
                <w14:textFill>
                  <w14:solidFill>
                    <w14:schemeClr w14:val="tx1"/>
                  </w14:solidFill>
                </w14:textFill>
              </w:rPr>
              <w:t>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赎回金额</w:t>
            </w:r>
          </w:p>
        </w:tc>
        <w:tc>
          <w:tcPr>
            <w:tcW w:w="7185" w:type="dxa"/>
            <w:noWrap w:val="0"/>
            <w:vAlign w:val="center"/>
          </w:tcPr>
          <w:p>
            <w:pPr>
              <w:widowControl/>
              <w:spacing w:line="360" w:lineRule="auto"/>
              <w:contextualSpacing/>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赎回金额=赎</w:t>
            </w:r>
            <w:r>
              <w:rPr>
                <w:rFonts w:hint="eastAsia" w:ascii="宋体" w:hAnsi="宋体" w:cs="宋体"/>
                <w:bCs/>
                <w:color w:val="000000" w:themeColor="text1"/>
                <w:sz w:val="21"/>
                <w:szCs w:val="21"/>
                <w:highlight w:val="none"/>
                <w14:textFill>
                  <w14:solidFill>
                    <w14:schemeClr w14:val="tx1"/>
                  </w14:solidFill>
                </w14:textFill>
              </w:rPr>
              <w:t>回份额×确认日</w:t>
            </w:r>
            <w:r>
              <w:rPr>
                <w:rFonts w:hint="eastAsia" w:ascii="宋体" w:hAnsi="宋体" w:cs="宋体"/>
                <w:bCs/>
                <w:color w:val="000000" w:themeColor="text1"/>
                <w:sz w:val="21"/>
                <w:szCs w:val="21"/>
                <w:highlight w:val="none"/>
                <w:lang w:eastAsia="zh-CN"/>
                <w14:textFill>
                  <w14:solidFill>
                    <w14:schemeClr w14:val="tx1"/>
                  </w14:solidFill>
                </w14:textFill>
              </w:rPr>
              <w:t>前一</w:t>
            </w:r>
            <w:r>
              <w:rPr>
                <w:rFonts w:hint="eastAsia" w:ascii="宋体" w:hAnsi="宋体" w:cs="宋体"/>
                <w:color w:val="000000" w:themeColor="text1"/>
                <w:sz w:val="21"/>
                <w:szCs w:val="21"/>
                <w:highlight w:val="none"/>
                <w:lang w:val="en-US" w:eastAsia="zh-CN"/>
                <w14:textFill>
                  <w14:solidFill>
                    <w14:schemeClr w14:val="tx1"/>
                  </w14:solidFill>
                </w14:textFill>
              </w:rPr>
              <w:t>交易日</w:t>
            </w:r>
            <w:r>
              <w:rPr>
                <w:rFonts w:hint="eastAsia" w:ascii="宋体" w:hAnsi="宋体" w:cs="宋体"/>
                <w:bCs/>
                <w:color w:val="000000" w:themeColor="text1"/>
                <w:sz w:val="21"/>
                <w:szCs w:val="21"/>
                <w:highlight w:val="none"/>
                <w14:textFill>
                  <w14:solidFill>
                    <w14:schemeClr w14:val="tx1"/>
                  </w14:solidFill>
                </w14:textFill>
              </w:rPr>
              <w:t>的单位净值</w:t>
            </w:r>
            <w:r>
              <w:rPr>
                <w:rFonts w:hint="eastAsia" w:ascii="宋体" w:hAnsi="宋体" w:cs="宋体"/>
                <w:bCs/>
                <w:color w:val="000000" w:themeColor="text1"/>
                <w:sz w:val="21"/>
                <w:szCs w:val="21"/>
                <w:highlight w:val="none"/>
                <w:lang w:val="en-US" w:eastAsia="zh-CN"/>
                <w14:textFill>
                  <w14:solidFill>
                    <w14:schemeClr w14:val="tx1"/>
                  </w14:solidFill>
                </w14:textFill>
              </w:rPr>
              <w:t>-浮动管理费（如有）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单位净值</w:t>
            </w:r>
          </w:p>
        </w:tc>
        <w:tc>
          <w:tcPr>
            <w:tcW w:w="7185" w:type="dxa"/>
            <w:noWrap w:val="0"/>
            <w:vAlign w:val="center"/>
          </w:tcPr>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单位净值=理财计划估值日理财计划总净值</w:t>
            </w:r>
            <w:r>
              <w:rPr>
                <w:rFonts w:hint="eastAsia" w:ascii="宋体" w:hAnsi="宋体" w:cs="宋体"/>
                <w:bCs/>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理财计划总份额，单位净值〖保留小数点后</w:t>
            </w:r>
            <w:r>
              <w:rPr>
                <w:rFonts w:hint="eastAsia" w:ascii="宋体" w:hAnsi="宋体" w:cs="宋体"/>
                <w:color w:val="000000" w:themeColor="text1"/>
                <w:sz w:val="21"/>
                <w:szCs w:val="21"/>
                <w:highlight w:val="none"/>
                <w:lang w:val="en-US" w:eastAsia="zh-CN"/>
                <w14:textFill>
                  <w14:solidFill>
                    <w14:schemeClr w14:val="tx1"/>
                  </w14:solidFill>
                </w14:textFill>
              </w:rPr>
              <w:t>六</w:t>
            </w:r>
            <w:r>
              <w:rPr>
                <w:rFonts w:hint="eastAsia" w:ascii="宋体" w:hAnsi="宋体" w:cs="宋体"/>
                <w:color w:val="000000" w:themeColor="text1"/>
                <w:sz w:val="21"/>
                <w:szCs w:val="21"/>
                <w:highlight w:val="none"/>
                <w14:textFill>
                  <w14:solidFill>
                    <w14:schemeClr w14:val="tx1"/>
                  </w14:solidFill>
                </w14:textFill>
              </w:rPr>
              <w:t>位〗</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六</w:t>
            </w:r>
            <w:r>
              <w:rPr>
                <w:rFonts w:hint="eastAsia" w:ascii="宋体" w:hAnsi="宋体" w:cs="宋体"/>
                <w:color w:val="000000" w:themeColor="text1"/>
                <w:sz w:val="21"/>
                <w:szCs w:val="21"/>
                <w:highlight w:val="none"/>
                <w:lang w:eastAsia="zh-CN"/>
                <w14:textFill>
                  <w14:solidFill>
                    <w14:schemeClr w14:val="tx1"/>
                  </w14:solidFill>
                </w14:textFill>
              </w:rPr>
              <w:t>位后去尾</w:t>
            </w:r>
            <w:r>
              <w:rPr>
                <w:rFonts w:hint="eastAsia" w:ascii="宋体" w:hAnsi="宋体" w:cs="宋体"/>
                <w:color w:val="000000" w:themeColor="text1"/>
                <w:sz w:val="21"/>
                <w:szCs w:val="21"/>
                <w:highlight w:val="none"/>
                <w14:textFill>
                  <w14:solidFill>
                    <w14:schemeClr w14:val="tx1"/>
                  </w14:solidFill>
                </w14:textFill>
              </w:rPr>
              <w:t>〗。</w:t>
            </w:r>
          </w:p>
          <w:p>
            <w:pPr>
              <w:widowControl/>
              <w:spacing w:line="360" w:lineRule="auto"/>
              <w:contextualSpacing/>
              <w:rPr>
                <w:rFonts w:hint="eastAsia" w:ascii="宋体" w:hAnsi="宋体" w:cs="宋体"/>
                <w:b/>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理财计划总净值=理财计划认购总额+理财计划所获总收益-理财计划总费用（包括但不限于</w:t>
            </w:r>
            <w:r>
              <w:rPr>
                <w:rFonts w:hint="eastAsia" w:ascii="宋体" w:hAnsi="宋体" w:cs="宋体"/>
                <w:color w:val="000000" w:themeColor="text1"/>
                <w:sz w:val="21"/>
                <w:szCs w:val="21"/>
                <w:highlight w:val="none"/>
                <w:lang w:val="en-US" w:eastAsia="zh-CN"/>
                <w14:textFill>
                  <w14:solidFill>
                    <w14:schemeClr w14:val="tx1"/>
                  </w14:solidFill>
                </w14:textFill>
              </w:rPr>
              <w:t>固定</w:t>
            </w:r>
            <w:r>
              <w:rPr>
                <w:rFonts w:hint="eastAsia" w:ascii="宋体" w:hAnsi="宋体" w:cs="宋体"/>
                <w:color w:val="000000" w:themeColor="text1"/>
                <w:sz w:val="21"/>
                <w:szCs w:val="21"/>
                <w:highlight w:val="none"/>
                <w14:textFill>
                  <w14:solidFill>
                    <w14:schemeClr w14:val="tx1"/>
                  </w14:solidFill>
                </w14:textFill>
              </w:rPr>
              <w:t>管理费、托管费、</w:t>
            </w:r>
            <w:r>
              <w:rPr>
                <w:rFonts w:hint="eastAsia" w:ascii="宋体" w:hAnsi="宋体" w:cs="宋体"/>
                <w:color w:val="000000" w:themeColor="text1"/>
                <w:sz w:val="21"/>
                <w:szCs w:val="21"/>
                <w:highlight w:val="none"/>
                <w:lang w:eastAsia="zh-CN"/>
                <w14:textFill>
                  <w14:solidFill>
                    <w14:schemeClr w14:val="tx1"/>
                  </w14:solidFill>
                </w14:textFill>
              </w:rPr>
              <w:t>销售服务费、</w:t>
            </w:r>
            <w:r>
              <w:rPr>
                <w:rFonts w:hint="eastAsia" w:ascii="宋体" w:hAnsi="宋体" w:cs="宋体"/>
                <w:color w:val="000000" w:themeColor="text1"/>
                <w:sz w:val="21"/>
                <w:szCs w:val="21"/>
                <w:highlight w:val="none"/>
                <w:lang w:val="en-US" w:eastAsia="zh-CN"/>
                <w14:textFill>
                  <w14:solidFill>
                    <w14:schemeClr w14:val="tx1"/>
                  </w14:solidFill>
                </w14:textFill>
              </w:rPr>
              <w:t>浮动管理费（如有）</w:t>
            </w:r>
            <w:r>
              <w:rPr>
                <w:rFonts w:hint="eastAsia" w:ascii="宋体" w:hAnsi="宋体" w:cs="宋体"/>
                <w:color w:val="000000" w:themeColor="text1"/>
                <w:sz w:val="21"/>
                <w:szCs w:val="21"/>
                <w:highlight w:val="none"/>
                <w14:textFill>
                  <w14:solidFill>
                    <w14:schemeClr w14:val="tx1"/>
                  </w14:solidFill>
                </w14:textFill>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资金与收益支付方式</w:t>
            </w:r>
          </w:p>
        </w:tc>
        <w:tc>
          <w:tcPr>
            <w:tcW w:w="7185" w:type="dxa"/>
            <w:noWrap w:val="0"/>
            <w:vAlign w:val="center"/>
          </w:tcPr>
          <w:p>
            <w:pPr>
              <w:widowControl/>
              <w:spacing w:line="360" w:lineRule="auto"/>
              <w:contextualSpacing/>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1.赎回资金确认后，最快</w:t>
            </w:r>
            <w:r>
              <w:rPr>
                <w:rFonts w:hint="eastAsia" w:ascii="宋体" w:hAnsi="宋体" w:cs="宋体"/>
                <w:b w:val="0"/>
                <w:bCs/>
                <w:color w:val="000000" w:themeColor="text1"/>
                <w:sz w:val="21"/>
                <w:szCs w:val="21"/>
                <w:highlight w:val="none"/>
                <w:lang w:val="en-US" w:eastAsia="zh-CN"/>
                <w14:textFill>
                  <w14:solidFill>
                    <w14:schemeClr w14:val="tx1"/>
                  </w14:solidFill>
                </w14:textFill>
              </w:rPr>
              <w:t>确认</w:t>
            </w:r>
            <w:r>
              <w:rPr>
                <w:rFonts w:hint="eastAsia" w:ascii="宋体" w:hAnsi="宋体" w:cs="宋体"/>
                <w:b/>
                <w:color w:val="000000" w:themeColor="text1"/>
                <w:sz w:val="21"/>
                <w:szCs w:val="21"/>
                <w:highlight w:val="none"/>
                <w:lang w:val="en-US" w:eastAsia="zh-CN"/>
                <w14:textFill>
                  <w14:solidFill>
                    <w14:schemeClr w14:val="tx1"/>
                  </w14:solidFill>
                </w14:textFill>
              </w:rPr>
              <w:t>日当日</w:t>
            </w:r>
            <w:r>
              <w:rPr>
                <w:rFonts w:hint="eastAsia" w:ascii="宋体" w:hAnsi="宋体" w:cs="宋体"/>
                <w:color w:val="000000" w:themeColor="text1"/>
                <w:sz w:val="21"/>
                <w:szCs w:val="21"/>
                <w:highlight w:val="none"/>
                <w14:textFill>
                  <w14:solidFill>
                    <w14:schemeClr w14:val="tx1"/>
                  </w14:solidFill>
                </w14:textFill>
              </w:rPr>
              <w:t>，最晚〖</w:t>
            </w: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个交易日</w:t>
            </w:r>
            <w:r>
              <w:rPr>
                <w:rFonts w:hint="eastAsia" w:ascii="宋体" w:hAnsi="宋体" w:cs="宋体"/>
                <w:color w:val="000000" w:themeColor="text1"/>
                <w:sz w:val="21"/>
                <w:szCs w:val="21"/>
                <w:highlight w:val="none"/>
                <w14:textFill>
                  <w14:solidFill>
                    <w14:schemeClr w14:val="tx1"/>
                  </w14:solidFill>
                </w14:textFill>
              </w:rPr>
              <w:t>内（遇节假日顺延）支付。如遇资金在途或法定工作日调整，实际资金到账日以公告为准。</w:t>
            </w: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2.理财计划到期后，最快〖</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〗个</w:t>
            </w:r>
            <w:r>
              <w:rPr>
                <w:rFonts w:hint="eastAsia" w:ascii="宋体" w:hAnsi="宋体" w:cs="宋体"/>
                <w:color w:val="000000" w:themeColor="text1"/>
                <w:sz w:val="21"/>
                <w:szCs w:val="21"/>
                <w:highlight w:val="none"/>
                <w:lang w:val="en-US" w:eastAsia="zh-CN"/>
                <w14:textFill>
                  <w14:solidFill>
                    <w14:schemeClr w14:val="tx1"/>
                  </w14:solidFill>
                </w14:textFill>
              </w:rPr>
              <w:t>交易日</w:t>
            </w:r>
            <w:r>
              <w:rPr>
                <w:rFonts w:hint="eastAsia" w:ascii="宋体" w:hAnsi="宋体" w:cs="宋体"/>
                <w:color w:val="000000" w:themeColor="text1"/>
                <w:sz w:val="21"/>
                <w:szCs w:val="21"/>
                <w:highlight w:val="none"/>
                <w14:textFill>
                  <w14:solidFill>
                    <w14:schemeClr w14:val="tx1"/>
                  </w14:solidFill>
                </w14:textFill>
              </w:rPr>
              <w:t>，最晚〖</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cs="宋体"/>
                <w:color w:val="000000" w:themeColor="text1"/>
                <w:sz w:val="21"/>
                <w:szCs w:val="21"/>
                <w:highlight w:val="none"/>
                <w14:textFill>
                  <w14:solidFill>
                    <w14:schemeClr w14:val="tx1"/>
                  </w14:solidFill>
                </w14:textFill>
              </w:rPr>
              <w:t>〗个</w:t>
            </w:r>
            <w:r>
              <w:rPr>
                <w:rFonts w:hint="eastAsia" w:ascii="宋体" w:hAnsi="宋体" w:cs="宋体"/>
                <w:color w:val="000000" w:themeColor="text1"/>
                <w:sz w:val="21"/>
                <w:szCs w:val="21"/>
                <w:highlight w:val="none"/>
                <w:lang w:val="en-US" w:eastAsia="zh-CN"/>
                <w14:textFill>
                  <w14:solidFill>
                    <w14:schemeClr w14:val="tx1"/>
                  </w14:solidFill>
                </w14:textFill>
              </w:rPr>
              <w:t>交易日</w:t>
            </w:r>
            <w:r>
              <w:rPr>
                <w:rFonts w:hint="eastAsia" w:ascii="宋体" w:hAnsi="宋体" w:cs="宋体"/>
                <w:color w:val="000000" w:themeColor="text1"/>
                <w:sz w:val="21"/>
                <w:szCs w:val="21"/>
                <w:highlight w:val="none"/>
                <w14:textFill>
                  <w14:solidFill>
                    <w14:schemeClr w14:val="tx1"/>
                  </w14:solidFill>
                </w14:textFill>
              </w:rPr>
              <w:t>内（遇节假日顺延）支付。如遇资金在途或法定工作日调整，实际资金到账日以公告为准。</w:t>
            </w: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收益分配</w:t>
            </w:r>
          </w:p>
        </w:tc>
        <w:tc>
          <w:tcPr>
            <w:tcW w:w="7185" w:type="dxa"/>
            <w:noWrap w:val="0"/>
            <w:vAlign w:val="center"/>
          </w:tcPr>
          <w:p>
            <w:pPr>
              <w:widowControl/>
              <w:spacing w:line="360" w:lineRule="auto"/>
              <w:contextualSpacing/>
              <w:rPr>
                <w:rFonts w:ascii="宋体" w:hAnsi="宋体" w:cs="宋体"/>
                <w:b/>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在满足收益分配基准日理财计划份额净值大于1元的情况下，管理人将〖</w:t>
            </w:r>
            <w:r>
              <w:rPr>
                <w:rFonts w:hint="eastAsia" w:ascii="宋体" w:hAnsi="宋体" w:cs="宋体"/>
                <w:color w:val="000000" w:themeColor="text1"/>
                <w:sz w:val="21"/>
                <w:szCs w:val="21"/>
                <w:highlight w:val="none"/>
                <w:lang w:val="en-US" w:eastAsia="zh-CN"/>
                <w14:textFill>
                  <w14:solidFill>
                    <w14:schemeClr w14:val="tx1"/>
                  </w14:solidFill>
                </w14:textFill>
              </w:rPr>
              <w:t>不</w:t>
            </w:r>
            <w:r>
              <w:rPr>
                <w:rFonts w:hint="eastAsia" w:ascii="宋体" w:hAnsi="宋体" w:cs="宋体"/>
                <w:color w:val="000000" w:themeColor="text1"/>
                <w:sz w:val="21"/>
                <w:szCs w:val="21"/>
                <w:highlight w:val="none"/>
                <w14:textFill>
                  <w14:solidFill>
                    <w14:schemeClr w14:val="tx1"/>
                  </w14:solidFill>
                </w14:textFill>
              </w:rPr>
              <w:t>定期〗将大于1元部分的收益进行全部或部分收益分配。具体分配方案以管理人公告为准。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业绩比较基准</w:t>
            </w:r>
          </w:p>
        </w:tc>
        <w:tc>
          <w:tcPr>
            <w:tcW w:w="7185" w:type="dxa"/>
            <w:noWrap w:val="0"/>
            <w:vAlign w:val="center"/>
          </w:tcPr>
          <w:p>
            <w:pPr>
              <w:widowControl/>
              <w:spacing w:line="360" w:lineRule="auto"/>
              <w:contextualSpacing/>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本理财计划〖</w:t>
            </w:r>
            <w:r>
              <w:rPr>
                <w:rFonts w:hint="eastAsia" w:ascii="宋体" w:hAnsi="宋体" w:cs="宋体"/>
                <w:color w:val="000000" w:themeColor="text1"/>
                <w:sz w:val="21"/>
                <w:szCs w:val="21"/>
                <w:highlight w:val="none"/>
                <w:lang w:val="en-US" w:eastAsia="zh-CN"/>
                <w14:textFill>
                  <w14:solidFill>
                    <w14:schemeClr w14:val="tx1"/>
                  </w14:solidFill>
                </w14:textFill>
              </w:rPr>
              <w:t>A份额</w:t>
            </w:r>
            <w:r>
              <w:rPr>
                <w:rFonts w:hint="eastAsia" w:ascii="宋体" w:hAnsi="宋体" w:cs="宋体"/>
                <w:color w:val="000000" w:themeColor="text1"/>
                <w:sz w:val="21"/>
                <w:szCs w:val="21"/>
                <w:highlight w:val="none"/>
                <w14:textFill>
                  <w14:solidFill>
                    <w14:schemeClr w14:val="tx1"/>
                  </w14:solidFill>
                </w14:textFill>
              </w:rPr>
              <w:t>〗业绩比较基准为〖</w:t>
            </w:r>
            <w:r>
              <w:rPr>
                <w:rFonts w:hint="eastAsia" w:ascii="宋体" w:hAnsi="宋体" w:cs="宋体"/>
                <w:color w:val="000000" w:themeColor="text1"/>
                <w:sz w:val="21"/>
                <w:szCs w:val="21"/>
                <w:highlight w:val="none"/>
                <w:lang w:val="en-US" w:eastAsia="zh-CN"/>
                <w14:textFill>
                  <w14:solidFill>
                    <w14:schemeClr w14:val="tx1"/>
                  </w14:solidFill>
                </w14:textFill>
              </w:rPr>
              <w:t>中国人民银行公布的7天通知存款利率</w:t>
            </w:r>
            <w:r>
              <w:rPr>
                <w:rFonts w:hint="eastAsia" w:ascii="宋体" w:hAnsi="宋体" w:cs="宋体"/>
                <w:color w:val="000000" w:themeColor="text1"/>
                <w:sz w:val="21"/>
                <w:szCs w:val="21"/>
                <w:highlight w:val="none"/>
                <w14:textFill>
                  <w14:solidFill>
                    <w14:schemeClr w14:val="tx1"/>
                  </w14:solidFill>
                </w14:textFill>
              </w:rPr>
              <w:t>〗（年化）</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B份额</w:t>
            </w:r>
            <w:r>
              <w:rPr>
                <w:rFonts w:hint="eastAsia" w:ascii="宋体" w:hAnsi="宋体" w:cs="宋体"/>
                <w:color w:val="000000" w:themeColor="text1"/>
                <w:sz w:val="21"/>
                <w:szCs w:val="21"/>
                <w:highlight w:val="none"/>
                <w14:textFill>
                  <w14:solidFill>
                    <w14:schemeClr w14:val="tx1"/>
                  </w14:solidFill>
                </w14:textFill>
              </w:rPr>
              <w:t>〗业绩比较基准为〖</w:t>
            </w:r>
            <w:r>
              <w:rPr>
                <w:rFonts w:hint="eastAsia" w:ascii="宋体" w:hAnsi="宋体" w:cs="宋体"/>
                <w:color w:val="000000" w:themeColor="text1"/>
                <w:sz w:val="21"/>
                <w:szCs w:val="21"/>
                <w:highlight w:val="none"/>
                <w:lang w:val="en-US" w:eastAsia="zh-CN"/>
                <w14:textFill>
                  <w14:solidFill>
                    <w14:schemeClr w14:val="tx1"/>
                  </w14:solidFill>
                </w14:textFill>
              </w:rPr>
              <w:t>中国人民银行公布的7天通知存款利率</w:t>
            </w:r>
            <w:r>
              <w:rPr>
                <w:rFonts w:hint="eastAsia" w:ascii="宋体" w:hAnsi="宋体" w:cs="宋体"/>
                <w:color w:val="000000" w:themeColor="text1"/>
                <w:sz w:val="21"/>
                <w:szCs w:val="21"/>
                <w:highlight w:val="none"/>
                <w14:textFill>
                  <w14:solidFill>
                    <w14:schemeClr w14:val="tx1"/>
                  </w14:solidFill>
                </w14:textFill>
              </w:rPr>
              <w:t>〗（年化）</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C份额</w:t>
            </w:r>
            <w:r>
              <w:rPr>
                <w:rFonts w:hint="eastAsia" w:ascii="宋体" w:hAnsi="宋体" w:cs="宋体"/>
                <w:color w:val="000000" w:themeColor="text1"/>
                <w:sz w:val="21"/>
                <w:szCs w:val="21"/>
                <w:highlight w:val="none"/>
                <w14:textFill>
                  <w14:solidFill>
                    <w14:schemeClr w14:val="tx1"/>
                  </w14:solidFill>
                </w14:textFill>
              </w:rPr>
              <w:t>〗业绩比较基准为〖</w:t>
            </w:r>
            <w:r>
              <w:rPr>
                <w:rFonts w:hint="eastAsia" w:ascii="宋体" w:hAnsi="宋体" w:cs="宋体"/>
                <w:color w:val="000000" w:themeColor="text1"/>
                <w:sz w:val="21"/>
                <w:szCs w:val="21"/>
                <w:highlight w:val="none"/>
                <w:lang w:val="en-US" w:eastAsia="zh-CN"/>
                <w14:textFill>
                  <w14:solidFill>
                    <w14:schemeClr w14:val="tx1"/>
                  </w14:solidFill>
                </w14:textFill>
              </w:rPr>
              <w:t>中国人民银行公布的7天通知存款利率</w:t>
            </w:r>
            <w:r>
              <w:rPr>
                <w:rFonts w:hint="eastAsia" w:ascii="宋体" w:hAnsi="宋体" w:cs="宋体"/>
                <w:color w:val="000000" w:themeColor="text1"/>
                <w:sz w:val="21"/>
                <w:szCs w:val="21"/>
                <w:highlight w:val="none"/>
                <w14:textFill>
                  <w14:solidFill>
                    <w14:schemeClr w14:val="tx1"/>
                  </w14:solidFill>
                </w14:textFill>
              </w:rPr>
              <w:t>〗（年化）。</w:t>
            </w:r>
          </w:p>
          <w:p>
            <w:pPr>
              <w:widowControl/>
              <w:spacing w:line="360" w:lineRule="auto"/>
              <w:jc w:val="left"/>
              <w:rPr>
                <w:rFonts w:hint="eastAsia"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业绩基准测算依据：</w:t>
            </w:r>
            <w:r>
              <w:rPr>
                <w:rFonts w:hint="eastAsia" w:ascii="宋体" w:hAnsi="宋体" w:cs="宋体"/>
                <w:b/>
                <w:bCs/>
                <w:color w:val="000000" w:themeColor="text1"/>
                <w:sz w:val="21"/>
                <w:szCs w:val="21"/>
                <w:highlight w:val="none"/>
                <w:lang w:val="en-US" w:eastAsia="zh-CN"/>
                <w14:textFill>
                  <w14:solidFill>
                    <w14:schemeClr w14:val="tx1"/>
                  </w14:solidFill>
                </w14:textFill>
              </w:rPr>
              <w:t>本理财计划</w:t>
            </w:r>
            <w:r>
              <w:rPr>
                <w:rFonts w:hint="eastAsia" w:ascii="宋体" w:hAnsi="宋体" w:cs="宋体"/>
                <w:b/>
                <w:bCs/>
                <w:color w:val="000000" w:themeColor="text1"/>
                <w:sz w:val="21"/>
                <w:szCs w:val="21"/>
                <w:highlight w:val="none"/>
                <w14:textFill>
                  <w14:solidFill>
                    <w14:schemeClr w14:val="tx1"/>
                  </w14:solidFill>
                </w14:textFill>
              </w:rPr>
              <w:t>重点投资于</w:t>
            </w:r>
            <w:r>
              <w:rPr>
                <w:rFonts w:hint="eastAsia" w:ascii="宋体" w:hAnsi="宋体" w:cs="宋体"/>
                <w:b/>
                <w:bCs/>
                <w:color w:val="000000" w:themeColor="text1"/>
                <w:sz w:val="21"/>
                <w:szCs w:val="21"/>
                <w:highlight w:val="none"/>
                <w:lang w:val="en-US" w:eastAsia="zh-CN"/>
                <w14:textFill>
                  <w14:solidFill>
                    <w14:schemeClr w14:val="tx1"/>
                  </w14:solidFill>
                </w14:textFill>
              </w:rPr>
              <w:t>同业存单、存款、信用债</w:t>
            </w:r>
            <w:r>
              <w:rPr>
                <w:rFonts w:hint="eastAsia" w:ascii="宋体" w:hAnsi="宋体" w:cs="宋体"/>
                <w:b/>
                <w:bCs/>
                <w:color w:val="000000" w:themeColor="text1"/>
                <w:sz w:val="21"/>
                <w:szCs w:val="21"/>
                <w:highlight w:val="none"/>
                <w14:textFill>
                  <w14:solidFill>
                    <w14:schemeClr w14:val="tx1"/>
                  </w14:solidFill>
                </w14:textFill>
              </w:rPr>
              <w:t>等资产，根据</w:t>
            </w:r>
            <w:r>
              <w:rPr>
                <w:rFonts w:hint="eastAsia" w:ascii="宋体" w:hAnsi="宋体" w:cs="宋体"/>
                <w:b/>
                <w:bCs/>
                <w:color w:val="000000" w:themeColor="text1"/>
                <w:sz w:val="21"/>
                <w:szCs w:val="21"/>
                <w:highlight w:val="none"/>
                <w:lang w:val="en-US" w:eastAsia="zh-CN"/>
                <w14:textFill>
                  <w14:solidFill>
                    <w14:schemeClr w14:val="tx1"/>
                  </w14:solidFill>
                </w14:textFill>
              </w:rPr>
              <w:t>当前市场环境，拟投资产收益率在1.5%-2.5%左右，同时根据</w:t>
            </w:r>
            <w:r>
              <w:rPr>
                <w:rFonts w:hint="eastAsia" w:ascii="宋体" w:hAnsi="宋体" w:cs="宋体"/>
                <w:b/>
                <w:bCs/>
                <w:color w:val="000000" w:themeColor="text1"/>
                <w:sz w:val="21"/>
                <w:szCs w:val="21"/>
                <w:highlight w:val="none"/>
                <w14:textFill>
                  <w14:solidFill>
                    <w14:schemeClr w14:val="tx1"/>
                  </w14:solidFill>
                </w14:textFill>
              </w:rPr>
              <w:t>流动性管理需要和监管要求配置不低于5%的高流动性资产。</w:t>
            </w:r>
          </w:p>
          <w:p>
            <w:pPr>
              <w:widowControl/>
              <w:spacing w:line="360" w:lineRule="auto"/>
              <w:jc w:val="left"/>
              <w:rPr>
                <w:rFonts w:hint="eastAsia" w:ascii="宋体" w:hAnsi="宋体" w:cs="宋体"/>
                <w:b/>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管理人有权根据市场情况及</w:t>
            </w:r>
            <w:r>
              <w:rPr>
                <w:rFonts w:hint="eastAsia" w:ascii="宋体" w:hAnsi="宋体" w:cs="宋体"/>
                <w:color w:val="000000" w:themeColor="text1"/>
                <w:sz w:val="21"/>
                <w:szCs w:val="21"/>
                <w:highlight w:val="none"/>
                <w:lang w:eastAsia="zh-CN"/>
                <w14:textFill>
                  <w14:solidFill>
                    <w14:schemeClr w14:val="tx1"/>
                  </w14:solidFill>
                </w14:textFill>
              </w:rPr>
              <w:t>理财计划</w:t>
            </w:r>
            <w:r>
              <w:rPr>
                <w:rFonts w:hint="eastAsia" w:ascii="宋体" w:hAnsi="宋体" w:cs="宋体"/>
                <w:color w:val="000000" w:themeColor="text1"/>
                <w:sz w:val="21"/>
                <w:szCs w:val="21"/>
                <w:highlight w:val="none"/>
                <w14:textFill>
                  <w14:solidFill>
                    <w14:schemeClr w14:val="tx1"/>
                  </w14:solidFill>
                </w14:textFill>
              </w:rPr>
              <w:t>运作情况调整业绩基准，并至少于新业绩基准启用前</w:t>
            </w:r>
            <w:r>
              <w:rPr>
                <w:rFonts w:hint="eastAsia" w:ascii="宋体" w:hAnsi="宋体" w:cs="宋体"/>
                <w:color w:val="000000" w:themeColor="text1"/>
                <w:kern w:val="0"/>
                <w:sz w:val="21"/>
                <w:szCs w:val="21"/>
                <w:highlight w:val="none"/>
                <w14:textFill>
                  <w14:solidFill>
                    <w14:schemeClr w14:val="tx1"/>
                  </w14:solidFill>
                </w14:textFill>
              </w:rPr>
              <w:t>〖</w:t>
            </w:r>
            <w:r>
              <w:rPr>
                <w:rFonts w:hint="eastAsia" w:ascii="宋体" w:hAnsi="宋体" w:cs="宋体"/>
                <w:color w:val="000000" w:themeColor="text1"/>
                <w:kern w:val="0"/>
                <w:sz w:val="21"/>
                <w:szCs w:val="21"/>
                <w:highlight w:val="none"/>
                <w:lang w:val="en-US" w:eastAsia="zh-CN"/>
                <w14:textFill>
                  <w14:solidFill>
                    <w14:schemeClr w14:val="tx1"/>
                  </w14:solidFill>
                </w14:textFill>
              </w:rPr>
              <w:t>2</w:t>
            </w:r>
            <w:r>
              <w:rPr>
                <w:rFonts w:hint="eastAsia" w:ascii="宋体" w:hAnsi="宋体" w:cs="宋体"/>
                <w:color w:val="000000" w:themeColor="text1"/>
                <w:kern w:val="0"/>
                <w:sz w:val="21"/>
                <w:szCs w:val="21"/>
                <w:highlight w:val="none"/>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个工作日公告。</w:t>
            </w:r>
          </w:p>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本理财计划为净值型理财产品，其业绩表现将随市场波动具有不确定性。本公司提醒投资者关注，业绩比较基准</w:t>
            </w:r>
            <w:r>
              <w:rPr>
                <w:rFonts w:hint="eastAsia" w:ascii="宋体" w:hAnsi="宋体" w:cs="宋体"/>
                <w:b/>
                <w:color w:val="000000" w:themeColor="text1"/>
                <w:sz w:val="21"/>
                <w:szCs w:val="21"/>
                <w:highlight w:val="none"/>
                <w:lang w:eastAsia="zh-CN"/>
                <w14:textFill>
                  <w14:solidFill>
                    <w14:schemeClr w14:val="tx1"/>
                  </w14:solidFill>
                </w14:textFill>
              </w:rPr>
              <w:t>不是预期收益率，</w:t>
            </w:r>
            <w:r>
              <w:rPr>
                <w:rFonts w:hint="eastAsia" w:ascii="宋体" w:hAnsi="宋体" w:cs="宋体"/>
                <w:b/>
                <w:color w:val="000000" w:themeColor="text1"/>
                <w:sz w:val="21"/>
                <w:szCs w:val="21"/>
                <w:highlight w:val="none"/>
                <w14:textFill>
                  <w14:solidFill>
                    <w14:schemeClr w14:val="tx1"/>
                  </w14:solidFill>
                </w14:textFill>
              </w:rPr>
              <w:t>并不代表</w:t>
            </w:r>
            <w:r>
              <w:rPr>
                <w:rFonts w:hint="eastAsia" w:ascii="宋体" w:hAnsi="宋体" w:cs="宋体"/>
                <w:b/>
                <w:color w:val="000000" w:themeColor="text1"/>
                <w:sz w:val="21"/>
                <w:szCs w:val="21"/>
                <w:highlight w:val="none"/>
                <w:lang w:eastAsia="zh-CN"/>
                <w14:textFill>
                  <w14:solidFill>
                    <w14:schemeClr w14:val="tx1"/>
                  </w14:solidFill>
                </w14:textFill>
              </w:rPr>
              <w:t>理财计划的未来表现和</w:t>
            </w:r>
            <w:r>
              <w:rPr>
                <w:rFonts w:hint="eastAsia" w:ascii="宋体" w:hAnsi="宋体" w:cs="宋体"/>
                <w:b/>
                <w:color w:val="000000" w:themeColor="text1"/>
                <w:sz w:val="21"/>
                <w:szCs w:val="21"/>
                <w:highlight w:val="none"/>
                <w14:textFill>
                  <w14:solidFill>
                    <w14:schemeClr w14:val="tx1"/>
                  </w14:solidFill>
                </w14:textFill>
              </w:rPr>
              <w:t>实际收益率</w:t>
            </w:r>
            <w:r>
              <w:rPr>
                <w:rFonts w:hint="eastAsia" w:ascii="宋体" w:hAnsi="宋体" w:cs="宋体"/>
                <w:b/>
                <w:color w:val="000000" w:themeColor="text1"/>
                <w:sz w:val="21"/>
                <w:szCs w:val="21"/>
                <w:highlight w:val="none"/>
                <w:lang w:eastAsia="zh-CN"/>
                <w14:textFill>
                  <w14:solidFill>
                    <w14:schemeClr w14:val="tx1"/>
                  </w14:solidFill>
                </w14:textFill>
              </w:rPr>
              <w:t>，不构成对理财计划收益的承诺</w:t>
            </w:r>
            <w:r>
              <w:rPr>
                <w:rFonts w:hint="eastAsia" w:ascii="宋体" w:hAnsi="宋体" w:cs="宋体"/>
                <w:b/>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产品费用</w:t>
            </w:r>
          </w:p>
        </w:tc>
        <w:tc>
          <w:tcPr>
            <w:tcW w:w="7185" w:type="dxa"/>
            <w:noWrap w:val="0"/>
            <w:vAlign w:val="center"/>
          </w:tcPr>
          <w:p>
            <w:pPr>
              <w:widowControl/>
              <w:spacing w:line="360" w:lineRule="auto"/>
              <w:contextualSpacing/>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w:t>
            </w:r>
            <w:r>
              <w:rPr>
                <w:rFonts w:hint="eastAsia" w:ascii="宋体" w:hAnsi="宋体" w:cs="宋体"/>
                <w:color w:val="000000" w:themeColor="text1"/>
                <w:sz w:val="21"/>
                <w:szCs w:val="21"/>
                <w:highlight w:val="none"/>
                <w:lang w:eastAsia="zh-CN"/>
                <w14:textFill>
                  <w14:solidFill>
                    <w14:schemeClr w14:val="tx1"/>
                  </w14:solidFill>
                </w14:textFill>
              </w:rPr>
              <w:t>销售服务费</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A</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〗收取年化〖</w:t>
            </w:r>
            <w:r>
              <w:rPr>
                <w:rFonts w:hint="eastAsia" w:ascii="宋体" w:hAnsi="宋体" w:cs="宋体"/>
                <w:color w:val="000000" w:themeColor="text1"/>
                <w:sz w:val="21"/>
                <w:szCs w:val="21"/>
                <w:highlight w:val="none"/>
                <w:lang w:val="en-US" w:eastAsia="zh-CN"/>
                <w14:textFill>
                  <w14:solidFill>
                    <w14:schemeClr w14:val="tx1"/>
                  </w14:solidFill>
                </w14:textFill>
              </w:rPr>
              <w:t>0.30</w:t>
            </w:r>
            <w:r>
              <w:rPr>
                <w:rFonts w:hint="eastAsia" w:ascii="宋体" w:hAnsi="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sz w:val="21"/>
                <w:szCs w:val="21"/>
                <w:highlight w:val="none"/>
                <w:lang w:eastAsia="zh-CN"/>
                <w14:textFill>
                  <w14:solidFill>
                    <w14:schemeClr w14:val="tx1"/>
                  </w14:solidFill>
                </w14:textFill>
              </w:rPr>
              <w:t>销售服务费，</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B</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〗收取年化〖</w:t>
            </w:r>
            <w:r>
              <w:rPr>
                <w:rFonts w:hint="eastAsia" w:ascii="宋体" w:hAnsi="宋体" w:cs="宋体"/>
                <w:color w:val="000000" w:themeColor="text1"/>
                <w:sz w:val="21"/>
                <w:szCs w:val="21"/>
                <w:highlight w:val="none"/>
                <w:lang w:val="en-US" w:eastAsia="zh-CN"/>
                <w14:textFill>
                  <w14:solidFill>
                    <w14:schemeClr w14:val="tx1"/>
                  </w14:solidFill>
                </w14:textFill>
              </w:rPr>
              <w:t>0.20</w:t>
            </w:r>
            <w:r>
              <w:rPr>
                <w:rFonts w:hint="eastAsia" w:ascii="宋体" w:hAnsi="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sz w:val="21"/>
                <w:szCs w:val="21"/>
                <w:highlight w:val="none"/>
                <w:lang w:eastAsia="zh-CN"/>
                <w14:textFill>
                  <w14:solidFill>
                    <w14:schemeClr w14:val="tx1"/>
                  </w14:solidFill>
                </w14:textFill>
              </w:rPr>
              <w:t>销售服务费，</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C</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〗收取年化〖</w:t>
            </w:r>
            <w:r>
              <w:rPr>
                <w:rFonts w:hint="eastAsia" w:ascii="宋体" w:hAnsi="宋体" w:cs="宋体"/>
                <w:color w:val="000000" w:themeColor="text1"/>
                <w:sz w:val="21"/>
                <w:szCs w:val="21"/>
                <w:highlight w:val="none"/>
                <w:lang w:val="en-US" w:eastAsia="zh-CN"/>
                <w14:textFill>
                  <w14:solidFill>
                    <w14:schemeClr w14:val="tx1"/>
                  </w14:solidFill>
                </w14:textFill>
              </w:rPr>
              <w:t>0.30</w:t>
            </w:r>
            <w:r>
              <w:rPr>
                <w:rFonts w:hint="eastAsia" w:ascii="宋体" w:hAnsi="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sz w:val="21"/>
                <w:szCs w:val="21"/>
                <w:highlight w:val="none"/>
                <w:lang w:eastAsia="zh-CN"/>
                <w14:textFill>
                  <w14:solidFill>
                    <w14:schemeClr w14:val="tx1"/>
                  </w14:solidFill>
                </w14:textFill>
              </w:rPr>
              <w:t>销售服务费</w:t>
            </w:r>
            <w:r>
              <w:rPr>
                <w:rFonts w:hint="eastAsia" w:ascii="宋体" w:hAnsi="宋体" w:cs="宋体"/>
                <w:color w:val="000000" w:themeColor="text1"/>
                <w:sz w:val="21"/>
                <w:szCs w:val="21"/>
                <w:highlight w:val="none"/>
                <w14:textFill>
                  <w14:solidFill>
                    <w14:schemeClr w14:val="tx1"/>
                  </w14:solidFill>
                </w14:textFill>
              </w:rPr>
              <w:t>。</w:t>
            </w:r>
          </w:p>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2.托管费：收取年化〖</w:t>
            </w:r>
            <w:r>
              <w:rPr>
                <w:rFonts w:hint="eastAsia" w:ascii="宋体" w:hAnsi="宋体" w:cs="宋体"/>
                <w:color w:val="000000" w:themeColor="text1"/>
                <w:sz w:val="21"/>
                <w:szCs w:val="21"/>
                <w:highlight w:val="none"/>
                <w:lang w:val="en-US" w:eastAsia="zh-CN"/>
                <w14:textFill>
                  <w14:solidFill>
                    <w14:schemeClr w14:val="tx1"/>
                  </w14:solidFill>
                </w14:textFill>
              </w:rPr>
              <w:t>0.025</w:t>
            </w:r>
            <w:r>
              <w:rPr>
                <w:rFonts w:hint="eastAsia" w:ascii="宋体" w:hAnsi="宋体" w:cs="宋体"/>
                <w:color w:val="000000" w:themeColor="text1"/>
                <w:sz w:val="21"/>
                <w:szCs w:val="21"/>
                <w:highlight w:val="none"/>
                <w14:textFill>
                  <w14:solidFill>
                    <w14:schemeClr w14:val="tx1"/>
                  </w14:solidFill>
                </w14:textFill>
              </w:rPr>
              <w:t>%〗的托管费。</w:t>
            </w:r>
          </w:p>
          <w:p>
            <w:pPr>
              <w:widowControl/>
              <w:spacing w:line="360" w:lineRule="auto"/>
              <w:contextualSpacing/>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3.固定管理费：〖</w:t>
            </w:r>
            <w:r>
              <w:rPr>
                <w:rFonts w:hint="eastAsia" w:ascii="宋体" w:hAnsi="宋体" w:cs="宋体"/>
                <w:color w:val="000000" w:themeColor="text1"/>
                <w:sz w:val="21"/>
                <w:szCs w:val="21"/>
                <w:highlight w:val="none"/>
                <w:lang w:val="en-US" w:eastAsia="zh-CN"/>
                <w14:textFill>
                  <w14:solidFill>
                    <w14:schemeClr w14:val="tx1"/>
                  </w14:solidFill>
                </w14:textFill>
              </w:rPr>
              <w:t>A</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〗收取年化〖</w:t>
            </w:r>
            <w:r>
              <w:rPr>
                <w:rFonts w:hint="eastAsia" w:ascii="宋体" w:hAnsi="宋体" w:cs="宋体"/>
                <w:color w:val="000000" w:themeColor="text1"/>
                <w:sz w:val="21"/>
                <w:szCs w:val="21"/>
                <w:highlight w:val="none"/>
                <w:lang w:val="en-US" w:eastAsia="zh-CN"/>
                <w14:textFill>
                  <w14:solidFill>
                    <w14:schemeClr w14:val="tx1"/>
                  </w14:solidFill>
                </w14:textFill>
              </w:rPr>
              <w:t>0.20</w:t>
            </w:r>
            <w:r>
              <w:rPr>
                <w:rFonts w:hint="eastAsia" w:ascii="宋体" w:hAnsi="宋体" w:cs="宋体"/>
                <w:color w:val="000000" w:themeColor="text1"/>
                <w:sz w:val="21"/>
                <w:szCs w:val="21"/>
                <w:highlight w:val="none"/>
                <w14:textFill>
                  <w14:solidFill>
                    <w14:schemeClr w14:val="tx1"/>
                  </w14:solidFill>
                </w14:textFill>
              </w:rPr>
              <w:t>%〗的固定管理费</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B</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〗收取年化〖</w:t>
            </w:r>
            <w:r>
              <w:rPr>
                <w:rFonts w:hint="eastAsia" w:ascii="宋体" w:hAnsi="宋体" w:cs="宋体"/>
                <w:color w:val="000000" w:themeColor="text1"/>
                <w:sz w:val="21"/>
                <w:szCs w:val="21"/>
                <w:highlight w:val="none"/>
                <w:lang w:val="en-US" w:eastAsia="zh-CN"/>
                <w14:textFill>
                  <w14:solidFill>
                    <w14:schemeClr w14:val="tx1"/>
                  </w14:solidFill>
                </w14:textFill>
              </w:rPr>
              <w:t>0.20</w:t>
            </w:r>
            <w:r>
              <w:rPr>
                <w:rFonts w:hint="eastAsia" w:ascii="宋体" w:hAnsi="宋体" w:cs="宋体"/>
                <w:color w:val="000000" w:themeColor="text1"/>
                <w:sz w:val="21"/>
                <w:szCs w:val="21"/>
                <w:highlight w:val="none"/>
                <w14:textFill>
                  <w14:solidFill>
                    <w14:schemeClr w14:val="tx1"/>
                  </w14:solidFill>
                </w14:textFill>
              </w:rPr>
              <w:t>%〗的固定管理费</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C</w:t>
            </w:r>
            <w:r>
              <w:rPr>
                <w:rFonts w:hint="eastAsia" w:ascii="宋体" w:hAnsi="宋体" w:cs="宋体"/>
                <w:bCs/>
                <w:color w:val="000000" w:themeColor="text1"/>
                <w:sz w:val="21"/>
                <w:szCs w:val="21"/>
                <w:highlight w:val="none"/>
                <w:lang w:val="en-US" w:eastAsia="zh-CN"/>
                <w14:textFill>
                  <w14:solidFill>
                    <w14:schemeClr w14:val="tx1"/>
                  </w14:solidFill>
                </w14:textFill>
              </w:rPr>
              <w:t>份额</w:t>
            </w:r>
            <w:r>
              <w:rPr>
                <w:rFonts w:hint="eastAsia" w:ascii="宋体" w:hAnsi="宋体" w:cs="宋体"/>
                <w:color w:val="000000" w:themeColor="text1"/>
                <w:sz w:val="21"/>
                <w:szCs w:val="21"/>
                <w:highlight w:val="none"/>
                <w14:textFill>
                  <w14:solidFill>
                    <w14:schemeClr w14:val="tx1"/>
                  </w14:solidFill>
                </w14:textFill>
              </w:rPr>
              <w:t>〗收取年化〖</w:t>
            </w:r>
            <w:r>
              <w:rPr>
                <w:rFonts w:hint="eastAsia" w:ascii="宋体" w:hAnsi="宋体" w:cs="宋体"/>
                <w:color w:val="000000" w:themeColor="text1"/>
                <w:sz w:val="21"/>
                <w:szCs w:val="21"/>
                <w:highlight w:val="none"/>
                <w:lang w:val="en-US" w:eastAsia="zh-CN"/>
                <w14:textFill>
                  <w14:solidFill>
                    <w14:schemeClr w14:val="tx1"/>
                  </w14:solidFill>
                </w14:textFill>
              </w:rPr>
              <w:t>0.20</w:t>
            </w:r>
            <w:r>
              <w:rPr>
                <w:rFonts w:hint="eastAsia" w:ascii="宋体" w:hAnsi="宋体" w:cs="宋体"/>
                <w:color w:val="000000" w:themeColor="text1"/>
                <w:sz w:val="21"/>
                <w:szCs w:val="21"/>
                <w:highlight w:val="none"/>
                <w14:textFill>
                  <w14:solidFill>
                    <w14:schemeClr w14:val="tx1"/>
                  </w14:solidFill>
                </w14:textFill>
              </w:rPr>
              <w:t>%〗的固定管理费。</w:t>
            </w:r>
          </w:p>
          <w:p>
            <w:pPr>
              <w:widowControl/>
              <w:spacing w:line="360" w:lineRule="auto"/>
              <w:contextualSpacing/>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4.认购费：本理财计划免除认购费。</w:t>
            </w:r>
          </w:p>
          <w:p>
            <w:pPr>
              <w:widowControl/>
              <w:spacing w:line="360" w:lineRule="auto"/>
              <w:contextualSpacing/>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5.申购费：</w:t>
            </w:r>
            <w:r>
              <w:rPr>
                <w:rFonts w:hint="eastAsia" w:ascii="宋体" w:hAnsi="宋体" w:cs="宋体"/>
                <w:color w:val="000000" w:themeColor="text1"/>
                <w:sz w:val="21"/>
                <w:szCs w:val="21"/>
                <w:highlight w:val="none"/>
                <w14:textFill>
                  <w14:solidFill>
                    <w14:schemeClr w14:val="tx1"/>
                  </w14:solidFill>
                </w14:textFill>
              </w:rPr>
              <w:t>本理财计划免除申购费。</w:t>
            </w:r>
          </w:p>
          <w:p>
            <w:pPr>
              <w:widowControl/>
              <w:spacing w:line="360" w:lineRule="auto"/>
              <w:contextualSpacing/>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6.赎回费：</w:t>
            </w:r>
            <w:r>
              <w:rPr>
                <w:rFonts w:hint="eastAsia" w:ascii="宋体" w:hAnsi="宋体" w:cs="宋体"/>
                <w:color w:val="000000" w:themeColor="text1"/>
                <w:sz w:val="21"/>
                <w:szCs w:val="21"/>
                <w:highlight w:val="none"/>
                <w14:textFill>
                  <w14:solidFill>
                    <w14:schemeClr w14:val="tx1"/>
                  </w14:solidFill>
                </w14:textFill>
              </w:rPr>
              <w:t>本理财计划免除赎回费。</w:t>
            </w:r>
          </w:p>
          <w:p>
            <w:pPr>
              <w:widowControl/>
              <w:spacing w:line="360" w:lineRule="auto"/>
              <w:contextualSpacing/>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7.浮动管理费</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14:textFill>
                  <w14:solidFill>
                    <w14:schemeClr w14:val="tx1"/>
                  </w14:solidFill>
                </w14:textFill>
              </w:rPr>
              <w:t>本理财计划免除</w:t>
            </w:r>
            <w:r>
              <w:rPr>
                <w:rFonts w:hint="eastAsia" w:ascii="宋体" w:hAnsi="宋体" w:cs="宋体"/>
                <w:b/>
                <w:color w:val="000000" w:themeColor="text1"/>
                <w:sz w:val="21"/>
                <w:szCs w:val="21"/>
                <w:highlight w:val="none"/>
                <w14:textFill>
                  <w14:solidFill>
                    <w14:schemeClr w14:val="tx1"/>
                  </w14:solidFill>
                </w14:textFill>
              </w:rPr>
              <w:t>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提前终止</w:t>
            </w:r>
          </w:p>
        </w:tc>
        <w:tc>
          <w:tcPr>
            <w:tcW w:w="7185" w:type="dxa"/>
            <w:noWrap w:val="0"/>
            <w:vAlign w:val="center"/>
          </w:tcPr>
          <w:p>
            <w:pPr>
              <w:widowControl/>
              <w:spacing w:line="360" w:lineRule="auto"/>
              <w:contextualSpacing/>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如遇国家金融政策出现重大调整并影响到本理财计划的正常运行的、市场收益率大幅波动可能或实质影响理财计划收益等情况，管理人有权提前</w:t>
            </w:r>
            <w:r>
              <w:rPr>
                <w:rFonts w:hint="eastAsia" w:ascii="宋体" w:hAnsi="宋体" w:cs="宋体"/>
                <w:b/>
                <w:color w:val="000000" w:themeColor="text1"/>
                <w:kern w:val="0"/>
                <w:sz w:val="21"/>
                <w:szCs w:val="21"/>
                <w:highlight w:val="none"/>
                <w:lang w:eastAsia="zh-CN"/>
                <w14:textFill>
                  <w14:solidFill>
                    <w14:schemeClr w14:val="tx1"/>
                  </w14:solidFill>
                </w14:textFill>
              </w:rPr>
              <w:t>全部或部分</w:t>
            </w:r>
            <w:r>
              <w:rPr>
                <w:rFonts w:hint="eastAsia" w:ascii="宋体" w:hAnsi="宋体" w:cs="宋体"/>
                <w:b/>
                <w:color w:val="000000" w:themeColor="text1"/>
                <w:kern w:val="0"/>
                <w:sz w:val="21"/>
                <w:szCs w:val="21"/>
                <w:highlight w:val="none"/>
                <w14:textFill>
                  <w14:solidFill>
                    <w14:schemeClr w14:val="tx1"/>
                  </w14:solidFill>
                </w14:textFill>
              </w:rPr>
              <w:t>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税费规定</w:t>
            </w:r>
          </w:p>
        </w:tc>
        <w:tc>
          <w:tcPr>
            <w:tcW w:w="7185" w:type="dxa"/>
            <w:noWrap w:val="0"/>
            <w:vAlign w:val="center"/>
          </w:tcPr>
          <w:p>
            <w:pPr>
              <w:spacing w:line="360" w:lineRule="auto"/>
              <w:outlineLvl w:val="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widowControl/>
              <w:spacing w:line="360" w:lineRule="auto"/>
              <w:contextualSpacing/>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widowControl/>
              <w:spacing w:line="360" w:lineRule="auto"/>
              <w:contextualSpacing/>
              <w:jc w:val="center"/>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融资服务</w:t>
            </w:r>
          </w:p>
        </w:tc>
        <w:tc>
          <w:tcPr>
            <w:tcW w:w="7185" w:type="dxa"/>
            <w:noWrap w:val="0"/>
            <w:vAlign w:val="bottom"/>
          </w:tcPr>
          <w:p>
            <w:pPr>
              <w:spacing w:line="360" w:lineRule="auto"/>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投资者在理财期限内不能提前</w:t>
            </w:r>
            <w:r>
              <w:rPr>
                <w:rFonts w:hint="eastAsia" w:ascii="宋体" w:hAnsi="宋体" w:cs="宋体"/>
                <w:b/>
                <w:color w:val="000000" w:themeColor="text1"/>
                <w:kern w:val="0"/>
                <w:sz w:val="21"/>
                <w:szCs w:val="21"/>
                <w:highlight w:val="none"/>
                <w:lang w:eastAsia="zh-CN"/>
                <w14:textFill>
                  <w14:solidFill>
                    <w14:schemeClr w14:val="tx1"/>
                  </w14:solidFill>
                </w14:textFill>
              </w:rPr>
              <w:t>赎回</w:t>
            </w:r>
            <w:r>
              <w:rPr>
                <w:rFonts w:hint="eastAsia" w:ascii="宋体" w:hAnsi="宋体" w:cs="宋体"/>
                <w:b/>
                <w:color w:val="000000" w:themeColor="text1"/>
                <w:kern w:val="0"/>
                <w:sz w:val="21"/>
                <w:szCs w:val="21"/>
                <w:highlight w:val="none"/>
                <w14:textFill>
                  <w14:solidFill>
                    <w14:schemeClr w14:val="tx1"/>
                  </w14:solidFill>
                </w14:textFill>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contextualSpacing/>
              <w:jc w:val="center"/>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themeColor="text1"/>
                <w:kern w:val="0"/>
                <w:sz w:val="21"/>
                <w:szCs w:val="21"/>
                <w:highlight w:val="none"/>
                <w14:textFill>
                  <w14:solidFill>
                    <w14:schemeClr w14:val="tx1"/>
                  </w14:solidFill>
                </w14:textFill>
              </w:rPr>
              <w:t>（具体以销售机构规定为准）</w:t>
            </w:r>
          </w:p>
          <w:p>
            <w:pPr>
              <w:spacing w:line="360" w:lineRule="auto"/>
              <w:rPr>
                <w:rFonts w:hint="eastAsia"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特别说明：</w:t>
      </w:r>
      <w:r>
        <w:rPr>
          <w:rFonts w:hint="eastAsia" w:ascii="宋体" w:hAnsi="宋体" w:cs="宋体"/>
          <w:b/>
          <w:color w:val="000000" w:themeColor="text1"/>
          <w:sz w:val="24"/>
          <w:highlight w:val="none"/>
          <w14:textFill>
            <w14:solidFill>
              <w14:schemeClr w14:val="tx1"/>
            </w14:solidFill>
          </w14:textFill>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themeColor="text1"/>
          <w:sz w:val="24"/>
          <w:highlight w:val="none"/>
          <w14:textFill>
            <w14:solidFill>
              <w14:schemeClr w14:val="tx1"/>
            </w14:solidFill>
          </w14:textFill>
        </w:rPr>
      </w:pPr>
    </w:p>
    <w:p>
      <w:pPr>
        <w:numPr>
          <w:ilvl w:val="0"/>
          <w:numId w:val="11"/>
        </w:numPr>
        <w:spacing w:line="360" w:lineRule="auto"/>
        <w:ind w:firstLine="482" w:firstLineChars="200"/>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投资管理</w:t>
      </w:r>
    </w:p>
    <w:p>
      <w:pPr>
        <w:numPr>
          <w:ilvl w:val="0"/>
          <w:numId w:val="12"/>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投资范围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w:t>
      </w:r>
      <w:r>
        <w:rPr>
          <w:rFonts w:hint="eastAsia" w:ascii="宋体" w:hAnsi="宋体" w:cs="宋体"/>
          <w:bCs/>
          <w:color w:val="000000" w:themeColor="text1"/>
          <w:sz w:val="24"/>
          <w:highlight w:val="none"/>
          <w:lang w:val="en-US" w:eastAsia="zh-CN"/>
          <w14:textFill>
            <w14:solidFill>
              <w14:schemeClr w14:val="tx1"/>
            </w14:solidFill>
          </w14:textFill>
        </w:rPr>
        <w:t>100%</w:t>
      </w:r>
      <w:r>
        <w:rPr>
          <w:rFonts w:hint="eastAsia" w:ascii="宋体" w:hAnsi="宋体" w:cs="宋体"/>
          <w:bCs/>
          <w:color w:val="000000" w:themeColor="text1"/>
          <w:sz w:val="24"/>
          <w:highlight w:val="none"/>
          <w:lang w:eastAsia="zh-CN"/>
          <w14:textFill>
            <w14:solidFill>
              <w14:schemeClr w14:val="tx1"/>
            </w14:solidFill>
          </w14:textFill>
        </w:rPr>
        <w:t>投资于固定收益类资产，主要</w:t>
      </w:r>
      <w:r>
        <w:rPr>
          <w:rFonts w:hint="eastAsia" w:ascii="宋体" w:hAnsi="宋体" w:cs="宋体"/>
          <w:bCs/>
          <w:color w:val="000000" w:themeColor="text1"/>
          <w:sz w:val="24"/>
          <w:highlight w:val="none"/>
          <w:lang w:val="en-US" w:eastAsia="zh-CN"/>
          <w14:textFill>
            <w14:solidFill>
              <w14:schemeClr w14:val="tx1"/>
            </w14:solidFill>
          </w14:textFill>
        </w:rPr>
        <w:t>为</w:t>
      </w:r>
      <w:r>
        <w:rPr>
          <w:rFonts w:hint="eastAsia" w:ascii="宋体" w:hAnsi="宋体" w:cs="宋体"/>
          <w:bCs/>
          <w:color w:val="000000" w:themeColor="text1"/>
          <w:sz w:val="24"/>
          <w:highlight w:val="none"/>
          <w:lang w:eastAsia="zh-CN"/>
          <w14:textFill>
            <w14:solidFill>
              <w14:schemeClr w14:val="tx1"/>
            </w14:solidFill>
          </w14:textFill>
        </w:rPr>
        <w:t>存款，</w:t>
      </w:r>
      <w:r>
        <w:rPr>
          <w:rFonts w:hint="eastAsia" w:ascii="宋体" w:hAnsi="宋体" w:cs="宋体"/>
          <w:bCs/>
          <w:color w:val="000000" w:themeColor="text1"/>
          <w:sz w:val="24"/>
          <w:highlight w:val="none"/>
          <w:lang w:val="en-US" w:eastAsia="zh-CN"/>
          <w14:textFill>
            <w14:solidFill>
              <w14:schemeClr w14:val="tx1"/>
            </w14:solidFill>
          </w14:textFill>
        </w:rPr>
        <w:t>同业存单</w:t>
      </w:r>
      <w:r>
        <w:rPr>
          <w:rFonts w:hint="eastAsia" w:ascii="宋体" w:hAnsi="宋体" w:cs="宋体"/>
          <w:bCs/>
          <w:color w:val="000000" w:themeColor="text1"/>
          <w:sz w:val="24"/>
          <w:highlight w:val="none"/>
          <w:lang w:eastAsia="zh-CN"/>
          <w14:textFill>
            <w14:solidFill>
              <w14:schemeClr w14:val="tx1"/>
            </w14:solidFill>
          </w14:textFill>
        </w:rPr>
        <w:t>，质押式、买断式回购及</w:t>
      </w:r>
      <w:r>
        <w:rPr>
          <w:rFonts w:hint="eastAsia" w:ascii="宋体" w:hAnsi="宋体" w:cs="宋体"/>
          <w:bCs/>
          <w:color w:val="000000" w:themeColor="text1"/>
          <w:sz w:val="24"/>
          <w:highlight w:val="none"/>
          <w:lang w:val="en-US" w:eastAsia="zh-CN"/>
          <w14:textFill>
            <w14:solidFill>
              <w14:schemeClr w14:val="tx1"/>
            </w14:solidFill>
          </w14:textFill>
        </w:rPr>
        <w:t>相关资产</w:t>
      </w:r>
      <w:r>
        <w:rPr>
          <w:rFonts w:hint="eastAsia" w:ascii="宋体" w:hAnsi="宋体" w:cs="宋体"/>
          <w:bCs/>
          <w:color w:val="000000" w:themeColor="text1"/>
          <w:sz w:val="24"/>
          <w:highlight w:val="none"/>
          <w:lang w:eastAsia="zh-CN"/>
          <w14:textFill>
            <w14:solidFill>
              <w14:schemeClr w14:val="tx1"/>
            </w14:solidFill>
          </w14:textFill>
        </w:rPr>
        <w:t>管理产品</w:t>
      </w:r>
      <w:r>
        <w:rPr>
          <w:rFonts w:hint="eastAsia" w:ascii="宋体" w:hAnsi="宋体" w:cs="宋体"/>
          <w:bCs/>
          <w:color w:val="000000" w:themeColor="text1"/>
          <w:sz w:val="24"/>
          <w:highlight w:val="none"/>
          <w:lang w:val="en-US" w:eastAsia="zh-CN"/>
          <w14:textFill>
            <w14:solidFill>
              <w14:schemeClr w14:val="tx1"/>
            </w14:solidFill>
          </w14:textFill>
        </w:rPr>
        <w:t>等</w:t>
      </w:r>
      <w:r>
        <w:rPr>
          <w:rFonts w:hint="eastAsia" w:ascii="宋体" w:hAnsi="宋体" w:cs="宋体"/>
          <w:bCs/>
          <w:color w:val="000000" w:themeColor="text1"/>
          <w:sz w:val="24"/>
          <w:highlight w:val="none"/>
          <w14:textFill>
            <w14:solidFill>
              <w14:schemeClr w14:val="tx1"/>
            </w14:solidFill>
          </w14:textFill>
        </w:rPr>
        <w:t>。</w:t>
      </w:r>
    </w:p>
    <w:p>
      <w:pPr>
        <w:numPr>
          <w:ilvl w:val="0"/>
          <w:numId w:val="12"/>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投资比例</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本理财计划各投资资产占</w:t>
      </w:r>
      <w:r>
        <w:rPr>
          <w:rFonts w:hint="eastAsia" w:ascii="宋体" w:hAnsi="宋体" w:cs="宋体"/>
          <w:bCs/>
          <w:color w:val="000000" w:themeColor="text1"/>
          <w:sz w:val="24"/>
          <w:highlight w:val="none"/>
          <w:lang w:eastAsia="zh-CN"/>
          <w14:textFill>
            <w14:solidFill>
              <w14:schemeClr w14:val="tx1"/>
            </w14:solidFill>
          </w14:textFill>
        </w:rPr>
        <w:t>总</w:t>
      </w:r>
      <w:r>
        <w:rPr>
          <w:rFonts w:hint="eastAsia" w:ascii="宋体" w:hAnsi="宋体" w:cs="宋体"/>
          <w:bCs/>
          <w:color w:val="000000" w:themeColor="text1"/>
          <w:sz w:val="24"/>
          <w:highlight w:val="none"/>
          <w14:textFill>
            <w14:solidFill>
              <w14:schemeClr w14:val="tx1"/>
            </w14:solidFill>
          </w14:textFill>
        </w:rPr>
        <w:t>资产的配置比例如下：</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4740"/>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noWrap w:val="0"/>
            <w:vAlign w:val="top"/>
          </w:tcPr>
          <w:p>
            <w:pPr>
              <w:spacing w:line="360" w:lineRule="auto"/>
              <w:rPr>
                <w:rFonts w:ascii="宋体" w:hAnsi="宋体" w:cs="宋体"/>
                <w:bCs/>
                <w:color w:val="000000" w:themeColor="text1"/>
                <w:sz w:val="21"/>
                <w:szCs w:val="21"/>
                <w:highlight w:val="none"/>
                <w14:textFill>
                  <w14:solidFill>
                    <w14:schemeClr w14:val="tx1"/>
                  </w14:solidFill>
                </w14:textFill>
              </w:rPr>
            </w:pPr>
          </w:p>
        </w:tc>
        <w:tc>
          <w:tcPr>
            <w:tcW w:w="4740" w:type="dxa"/>
            <w:noWrap w:val="0"/>
            <w:vAlign w:val="top"/>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投资资产</w:t>
            </w:r>
          </w:p>
        </w:tc>
        <w:tc>
          <w:tcPr>
            <w:tcW w:w="1996" w:type="dxa"/>
            <w:noWrap w:val="0"/>
            <w:vAlign w:val="top"/>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配置比例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大类资产类型</w:t>
            </w:r>
          </w:p>
        </w:tc>
        <w:tc>
          <w:tcPr>
            <w:tcW w:w="4740" w:type="dxa"/>
            <w:noWrap w:val="0"/>
            <w:vAlign w:val="top"/>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固定收益类资产</w:t>
            </w:r>
          </w:p>
        </w:tc>
        <w:tc>
          <w:tcPr>
            <w:tcW w:w="1996"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lang w:val="en-US" w:eastAsia="zh-CN"/>
                <w14:textFill>
                  <w14:solidFill>
                    <w14:schemeClr w14:val="tx1"/>
                  </w14:solidFill>
                </w14:textFill>
              </w:rPr>
              <w:t>100%</w:t>
            </w:r>
          </w:p>
        </w:tc>
      </w:tr>
    </w:tbl>
    <w:p>
      <w:pPr>
        <w:pStyle w:val="17"/>
        <w:adjustRightInd/>
        <w:spacing w:line="360" w:lineRule="auto"/>
        <w:ind w:firstLine="456" w:firstLineChars="19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lang w:val="en-US" w:eastAsia="zh-CN"/>
          <w14:textFill>
            <w14:solidFill>
              <w14:schemeClr w14:val="tx1"/>
            </w14:solidFill>
          </w14:textFill>
        </w:rPr>
        <w:t>本理财计划特殊资产类型为基于大类资产类型项下的进一步细化分类，其配置比例不得超过大类资产配置比例。</w:t>
      </w:r>
    </w:p>
    <w:p>
      <w:pPr>
        <w:pStyle w:val="17"/>
        <w:adjustRightInd/>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本理财计划自成立日起</w:t>
      </w: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kern w:val="2"/>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w:t>
      </w:r>
      <w:r>
        <w:rPr>
          <w:rFonts w:hint="eastAsia" w:ascii="宋体" w:hAnsi="宋体" w:cs="宋体"/>
          <w:bCs/>
          <w:color w:val="000000" w:themeColor="text1"/>
          <w:kern w:val="2"/>
          <w:highlight w:val="none"/>
          <w14:textFill>
            <w14:solidFill>
              <w14:schemeClr w14:val="tx1"/>
            </w14:solidFill>
          </w14:textFill>
        </w:rPr>
        <w:t>个月为建仓期，管理人应当在建仓期结束前使各项投资比例符合约定。在理财计划存续期间如遇市场变化导致各类投资品投资比例暂时超出以上范围，为保护投资者利益，管理人将在流动性受限资产可出售、可转让或者恢复交易的15个交易日内调整至上述比例范围。</w:t>
      </w:r>
    </w:p>
    <w:p>
      <w:pPr>
        <w:numPr>
          <w:ilvl w:val="0"/>
          <w:numId w:val="12"/>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投资策略</w:t>
      </w:r>
    </w:p>
    <w:p>
      <w:pPr>
        <w:pStyle w:val="17"/>
        <w:numPr>
          <w:ilvl w:val="0"/>
          <w:numId w:val="13"/>
        </w:numPr>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资产配置策略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管理人</w:t>
      </w:r>
      <w:r>
        <w:rPr>
          <w:rFonts w:hint="eastAsia" w:ascii="宋体" w:hAnsi="宋体" w:cs="宋体"/>
          <w:bCs/>
          <w:color w:val="auto"/>
          <w:kern w:val="2"/>
          <w:highlight w:val="none"/>
          <w:lang w:val="en-US" w:eastAsia="zh-CN"/>
        </w:rPr>
        <w:t>将采取利率策略、信用策略，判断不同资产在经济周期的不同阶段的相对投资价值，确定不同资产在组合中的配置比例</w:t>
      </w:r>
      <w:r>
        <w:rPr>
          <w:rFonts w:hint="eastAsia" w:ascii="宋体" w:hAnsi="宋体" w:cs="宋体"/>
          <w:bCs/>
          <w:color w:val="auto"/>
          <w:kern w:val="2"/>
          <w:highlight w:val="none"/>
        </w:rPr>
        <w:t>。</w:t>
      </w:r>
    </w:p>
    <w:p>
      <w:pPr>
        <w:numPr>
          <w:ilvl w:val="0"/>
          <w:numId w:val="1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lang w:val="en-US" w:eastAsia="zh-CN"/>
        </w:rPr>
        <w:t>同业存单及存款类资产投资策略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管理人</w:t>
      </w:r>
      <w:r>
        <w:rPr>
          <w:rFonts w:hint="eastAsia" w:ascii="宋体" w:hAnsi="宋体" w:cs="宋体"/>
          <w:bCs/>
          <w:color w:val="auto"/>
          <w:kern w:val="2"/>
          <w:highlight w:val="none"/>
          <w:lang w:val="en-US" w:eastAsia="zh-CN"/>
        </w:rPr>
        <w:t>将优选资质良好的同业存单发行主体和存款融资主体，统筹考虑资产收益性、安全性和流动性因素，运用宏观择时、曲线挖掘、精细择券等策略捕捉信用利差、期限利差、估值洼地等机会增厚组合收益</w:t>
      </w:r>
      <w:r>
        <w:rPr>
          <w:rFonts w:hint="eastAsia" w:ascii="宋体" w:hAnsi="宋体" w:cs="宋体"/>
          <w:bCs/>
          <w:color w:val="auto"/>
          <w:kern w:val="2"/>
          <w:highlight w:val="none"/>
        </w:rPr>
        <w:t>。</w:t>
      </w:r>
    </w:p>
    <w:p>
      <w:pPr>
        <w:numPr>
          <w:ilvl w:val="0"/>
          <w:numId w:val="14"/>
        </w:numPr>
        <w:spacing w:line="360" w:lineRule="auto"/>
        <w:jc w:val="left"/>
        <w:rPr>
          <w:rFonts w:ascii="宋体" w:hAnsi="宋体" w:cs="宋体"/>
          <w:bCs/>
          <w:sz w:val="24"/>
          <w:highlight w:val="none"/>
        </w:rPr>
      </w:pPr>
      <w:r>
        <w:rPr>
          <w:rFonts w:hint="eastAsia" w:ascii="宋体" w:hAnsi="宋体" w:cs="宋体"/>
          <w:bCs/>
          <w:sz w:val="24"/>
          <w:highlight w:val="none"/>
          <w:lang w:val="en-US" w:eastAsia="zh-CN"/>
        </w:rPr>
        <w:t>杠杆和久期策</w:t>
      </w:r>
      <w:r>
        <w:rPr>
          <w:rFonts w:hint="eastAsia" w:ascii="宋体" w:hAnsi="宋体" w:cs="宋体"/>
          <w:bCs/>
          <w:sz w:val="24"/>
          <w:highlight w:val="none"/>
        </w:rPr>
        <w:t>略</w:t>
      </w:r>
    </w:p>
    <w:p>
      <w:pPr>
        <w:pStyle w:val="17"/>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sz w:val="24"/>
          <w:highlight w:val="none"/>
        </w:rPr>
        <w:t>管理人</w:t>
      </w:r>
      <w:r>
        <w:rPr>
          <w:rFonts w:hint="eastAsia" w:ascii="宋体" w:hAnsi="宋体" w:cs="宋体"/>
          <w:bCs/>
          <w:color w:val="auto"/>
          <w:kern w:val="2"/>
          <w:sz w:val="24"/>
          <w:highlight w:val="none"/>
          <w:lang w:val="en-US" w:eastAsia="zh-CN"/>
        </w:rPr>
        <w:t>将科学控制组合杠杆和久期，实现资产组合稳健增值的目标</w:t>
      </w:r>
      <w:r>
        <w:rPr>
          <w:rFonts w:hint="eastAsia" w:ascii="宋体" w:hAnsi="宋体" w:cs="宋体"/>
          <w:bCs/>
          <w:color w:val="auto"/>
          <w:kern w:val="2"/>
          <w:sz w:val="24"/>
          <w:highlight w:val="none"/>
        </w:rPr>
        <w:t>。</w:t>
      </w:r>
    </w:p>
    <w:p>
      <w:pPr>
        <w:numPr>
          <w:ilvl w:val="0"/>
          <w:numId w:val="12"/>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投资限制</w:t>
      </w:r>
    </w:p>
    <w:p>
      <w:pPr>
        <w:numPr>
          <w:ilvl w:val="0"/>
          <w:numId w:val="0"/>
        </w:numPr>
        <w:spacing w:line="360" w:lineRule="auto"/>
        <w:ind w:firstLine="480" w:firstLineChars="200"/>
        <w:jc w:val="left"/>
        <w:outlineLvl w:val="2"/>
        <w:rPr>
          <w:rFonts w:hint="eastAsia" w:ascii="宋体" w:hAnsi="宋体" w:eastAsia="宋体" w:cs="宋体"/>
          <w:b w:val="0"/>
          <w:bCs/>
          <w:color w:val="000000" w:themeColor="text1"/>
          <w:sz w:val="24"/>
          <w:highlight w:val="none"/>
          <w:lang w:val="en-US" w:eastAsia="zh-CN"/>
          <w14:textFill>
            <w14:solidFill>
              <w14:schemeClr w14:val="tx1"/>
            </w14:solidFill>
          </w14:textFill>
        </w:rPr>
      </w:pPr>
      <w:r>
        <w:rPr>
          <w:rFonts w:hint="eastAsia" w:ascii="宋体" w:hAnsi="宋体" w:cs="宋体"/>
          <w:b w:val="0"/>
          <w:bCs/>
          <w:color w:val="000000" w:themeColor="text1"/>
          <w:sz w:val="24"/>
          <w:highlight w:val="none"/>
          <w:lang w:val="en-US" w:eastAsia="zh-CN"/>
          <w14:textFill>
            <w14:solidFill>
              <w14:schemeClr w14:val="tx1"/>
            </w14:solidFill>
          </w14:textFill>
        </w:rPr>
        <w:t>投资限制中列示的资产品种不代表管理人的实际投向，本理财计划投资范围以“投资范围”章节表述为准。</w:t>
      </w:r>
    </w:p>
    <w:p>
      <w:pPr>
        <w:numPr>
          <w:ilvl w:val="0"/>
          <w:numId w:val="15"/>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投资集中度限制</w:t>
      </w:r>
    </w:p>
    <w:p>
      <w:pPr>
        <w:numPr>
          <w:ilvl w:val="0"/>
          <w:numId w:val="16"/>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本理财计划持有单只证券或单只公募</w:t>
      </w:r>
      <w:r>
        <w:rPr>
          <w:rFonts w:ascii="宋体" w:hAnsi="宋体" w:cs="宋体"/>
          <w:bCs/>
          <w:color w:val="000000" w:themeColor="text1"/>
          <w:sz w:val="24"/>
          <w:highlight w:val="none"/>
          <w14:textFill>
            <w14:solidFill>
              <w14:schemeClr w14:val="tx1"/>
            </w14:solidFill>
          </w14:textFill>
        </w:rPr>
        <w:fldChar w:fldCharType="begin"/>
      </w:r>
      <w:r>
        <w:rPr>
          <w:rFonts w:ascii="宋体" w:hAnsi="宋体" w:cs="宋体"/>
          <w:bCs/>
          <w:color w:val="000000" w:themeColor="text1"/>
          <w:sz w:val="24"/>
          <w:highlight w:val="none"/>
          <w14:textFill>
            <w14:solidFill>
              <w14:schemeClr w14:val="tx1"/>
            </w14:solidFill>
          </w14:textFill>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color w:val="000000" w:themeColor="text1"/>
          <w:sz w:val="24"/>
          <w:highlight w:val="none"/>
          <w14:textFill>
            <w14:solidFill>
              <w14:schemeClr w14:val="tx1"/>
            </w14:solidFill>
          </w14:textFill>
        </w:rPr>
        <w:fldChar w:fldCharType="separate"/>
      </w:r>
      <w:r>
        <w:rPr>
          <w:rFonts w:ascii="宋体" w:hAnsi="宋体" w:cs="宋体"/>
          <w:bCs/>
          <w:color w:val="000000" w:themeColor="text1"/>
          <w:sz w:val="24"/>
          <w:highlight w:val="none"/>
          <w14:textFill>
            <w14:solidFill>
              <w14:schemeClr w14:val="tx1"/>
            </w14:solidFill>
          </w14:textFill>
        </w:rPr>
        <w:t>证券投资基金</w:t>
      </w:r>
      <w:r>
        <w:rPr>
          <w:rFonts w:ascii="宋体" w:hAnsi="宋体" w:cs="宋体"/>
          <w:bCs/>
          <w:color w:val="000000" w:themeColor="text1"/>
          <w:sz w:val="24"/>
          <w:highlight w:val="none"/>
          <w14:textFill>
            <w14:solidFill>
              <w14:schemeClr w14:val="tx1"/>
            </w14:solidFill>
          </w14:textFill>
        </w:rPr>
        <w:fldChar w:fldCharType="end"/>
      </w:r>
      <w:r>
        <w:rPr>
          <w:rFonts w:ascii="宋体" w:hAnsi="宋体" w:cs="宋体"/>
          <w:bCs/>
          <w:color w:val="000000" w:themeColor="text1"/>
          <w:sz w:val="24"/>
          <w:highlight w:val="none"/>
          <w14:textFill>
            <w14:solidFill>
              <w14:schemeClr w14:val="tx1"/>
            </w14:solidFill>
          </w14:textFill>
        </w:rPr>
        <w:t>的市值不得超过该理财</w:t>
      </w:r>
      <w:r>
        <w:rPr>
          <w:rFonts w:hint="eastAsia" w:ascii="宋体" w:hAnsi="宋体" w:cs="宋体"/>
          <w:bCs/>
          <w:color w:val="000000" w:themeColor="text1"/>
          <w:sz w:val="24"/>
          <w:highlight w:val="none"/>
          <w14:textFill>
            <w14:solidFill>
              <w14:schemeClr w14:val="tx1"/>
            </w14:solidFill>
          </w14:textFill>
        </w:rPr>
        <w:t>计划</w:t>
      </w:r>
      <w:r>
        <w:rPr>
          <w:rFonts w:ascii="宋体" w:hAnsi="宋体" w:cs="宋体"/>
          <w:bCs/>
          <w:color w:val="000000" w:themeColor="text1"/>
          <w:sz w:val="24"/>
          <w:highlight w:val="none"/>
          <w14:textFill>
            <w14:solidFill>
              <w14:schemeClr w14:val="tx1"/>
            </w14:solidFill>
          </w14:textFill>
        </w:rPr>
        <w:t>净资产</w:t>
      </w:r>
      <w:r>
        <w:rPr>
          <w:rFonts w:hint="eastAsia" w:ascii="宋体" w:hAnsi="宋体" w:cs="宋体"/>
          <w:bCs/>
          <w:color w:val="000000" w:themeColor="text1"/>
          <w:sz w:val="24"/>
          <w:highlight w:val="none"/>
          <w14:textFill>
            <w14:solidFill>
              <w14:schemeClr w14:val="tx1"/>
            </w14:solidFill>
          </w14:textFill>
        </w:rPr>
        <w:t>的</w:t>
      </w:r>
      <w:r>
        <w:rPr>
          <w:rFonts w:ascii="宋体" w:hAnsi="宋体" w:cs="宋体"/>
          <w:bCs/>
          <w:color w:val="000000" w:themeColor="text1"/>
          <w:sz w:val="24"/>
          <w:highlight w:val="none"/>
          <w14:textFill>
            <w14:solidFill>
              <w14:schemeClr w14:val="tx1"/>
            </w14:solidFill>
          </w14:textFill>
        </w:rPr>
        <w:t>10%</w:t>
      </w:r>
      <w:r>
        <w:rPr>
          <w:rFonts w:hint="eastAsia" w:ascii="宋体" w:hAnsi="宋体" w:cs="宋体"/>
          <w:bCs/>
          <w:color w:val="000000" w:themeColor="text1"/>
          <w:sz w:val="24"/>
          <w:highlight w:val="none"/>
          <w14:textFill>
            <w14:solidFill>
              <w14:schemeClr w14:val="tx1"/>
            </w14:solidFill>
          </w14:textFill>
        </w:rPr>
        <w:t>。</w:t>
      </w:r>
    </w:p>
    <w:p>
      <w:pPr>
        <w:numPr>
          <w:ilvl w:val="0"/>
          <w:numId w:val="1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管理人发行的全部公募理财计划持有单只证券或单只公募证券投资基金的市值，不得超过该证券市值或该公募证券投资基金市值的30%。</w:t>
      </w:r>
    </w:p>
    <w:p>
      <w:pPr>
        <w:numPr>
          <w:ilvl w:val="0"/>
          <w:numId w:val="1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管理人发行的全部理财计划持有单一上市公司发行的股票，不得超过该上市公司可流通股票的30%。</w:t>
      </w:r>
    </w:p>
    <w:p>
      <w:pPr>
        <w:numPr>
          <w:ilvl w:val="0"/>
          <w:numId w:val="1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管理人</w:t>
      </w:r>
      <w:r>
        <w:rPr>
          <w:rFonts w:hint="eastAsia" w:ascii="宋体" w:hAnsi="宋体" w:cs="宋体"/>
          <w:bCs/>
          <w:color w:val="000000" w:themeColor="text1"/>
          <w:sz w:val="24"/>
          <w:highlight w:val="none"/>
          <w14:textFill>
            <w14:solidFill>
              <w14:schemeClr w14:val="tx1"/>
            </w14:solidFill>
          </w14:textFill>
        </w:rPr>
        <w:t>发行的全部</w:t>
      </w:r>
      <w:r>
        <w:rPr>
          <w:rFonts w:hint="eastAsia" w:ascii="宋体" w:hAnsi="宋体"/>
          <w:color w:val="000000" w:themeColor="text1"/>
          <w:sz w:val="24"/>
          <w:highlight w:val="none"/>
          <w14:textFill>
            <w14:solidFill>
              <w14:schemeClr w14:val="tx1"/>
            </w14:solidFill>
          </w14:textFill>
        </w:rPr>
        <w:t>开放式公募</w:t>
      </w:r>
      <w:r>
        <w:rPr>
          <w:rFonts w:hint="eastAsia" w:ascii="宋体" w:hAnsi="宋体" w:cs="宋体"/>
          <w:bCs/>
          <w:color w:val="000000" w:themeColor="text1"/>
          <w:sz w:val="24"/>
          <w:highlight w:val="none"/>
          <w14:textFill>
            <w14:solidFill>
              <w14:schemeClr w14:val="tx1"/>
            </w14:solidFill>
          </w14:textFill>
        </w:rPr>
        <w:t>理财计划</w:t>
      </w:r>
      <w:r>
        <w:rPr>
          <w:rFonts w:hint="eastAsia" w:ascii="宋体" w:hAnsi="宋体"/>
          <w:color w:val="000000" w:themeColor="text1"/>
          <w:sz w:val="24"/>
          <w:highlight w:val="none"/>
          <w14:textFill>
            <w14:solidFill>
              <w14:schemeClr w14:val="tx1"/>
            </w14:solidFill>
          </w14:textFill>
        </w:rPr>
        <w:t>投资单一上市公司发行的股票,不得超过该上市公司可流通股票的15%。</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国务院银行业监督管理机构另有规定的除外。</w:t>
      </w:r>
    </w:p>
    <w:p>
      <w:p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5"/>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投资期限限制</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本理财计划投资的非标准化债权类资产到期日不得晚于理财计划最近一次开放日。</w:t>
      </w:r>
    </w:p>
    <w:p>
      <w:pPr>
        <w:numPr>
          <w:ilvl w:val="0"/>
          <w:numId w:val="15"/>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投资杠杆率限制</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本理财计划的总资产不得超过净资产的140%。</w:t>
      </w:r>
    </w:p>
    <w:p>
      <w:pPr>
        <w:numPr>
          <w:ilvl w:val="0"/>
          <w:numId w:val="17"/>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流动性限制</w:t>
      </w:r>
    </w:p>
    <w:p>
      <w:pPr>
        <w:numPr>
          <w:ilvl w:val="0"/>
          <w:numId w:val="18"/>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本理财计划直接投资于流动性受限资产的市值在开放日不得超过该理财计划资产净值的15%。</w:t>
      </w:r>
    </w:p>
    <w:p>
      <w:pPr>
        <w:numPr>
          <w:ilvl w:val="0"/>
          <w:numId w:val="18"/>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本理财计划还应满足以下限制</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a、c</w:t>
      </w:r>
      <w:r>
        <w:rPr>
          <w:rFonts w:hint="eastAsia" w:ascii="宋体" w:hAnsi="宋体" w:cs="宋体"/>
          <w:bCs/>
          <w:color w:val="000000" w:themeColor="text1"/>
          <w:sz w:val="24"/>
          <w:highlight w:val="none"/>
          <w14:textFill>
            <w14:solidFill>
              <w14:schemeClr w14:val="tx1"/>
            </w14:solidFill>
          </w14:textFill>
        </w:rPr>
        <w:t>】</w:t>
      </w:r>
    </w:p>
    <w:p>
      <w:pPr>
        <w:numPr>
          <w:ilvl w:val="0"/>
          <w:numId w:val="19"/>
        </w:numPr>
        <w:spacing w:line="360" w:lineRule="auto"/>
        <w:ind w:firstLine="720" w:firstLineChars="300"/>
        <w:jc w:val="left"/>
        <w:rPr>
          <w:rFonts w:hint="default" w:ascii="宋体" w:hAnsi="宋体" w:eastAsia="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本理财计划</w:t>
      </w:r>
      <w:r>
        <w:rPr>
          <w:rFonts w:hint="eastAsia" w:ascii="宋体" w:hAnsi="宋体" w:cs="宋体"/>
          <w:bCs/>
          <w:color w:val="000000" w:themeColor="text1"/>
          <w:sz w:val="24"/>
          <w:highlight w:val="none"/>
          <w14:textFill>
            <w14:solidFill>
              <w14:schemeClr w14:val="tx1"/>
            </w14:solidFill>
          </w14:textFill>
        </w:rPr>
        <w:t>应当持有不低于该理财</w:t>
      </w:r>
      <w:r>
        <w:rPr>
          <w:rFonts w:hint="eastAsia" w:ascii="宋体" w:hAnsi="宋体" w:cs="宋体"/>
          <w:bCs/>
          <w:color w:val="000000" w:themeColor="text1"/>
          <w:sz w:val="24"/>
          <w:highlight w:val="none"/>
          <w:lang w:eastAsia="zh-CN"/>
          <w14:textFill>
            <w14:solidFill>
              <w14:schemeClr w14:val="tx1"/>
            </w14:solidFill>
          </w14:textFill>
        </w:rPr>
        <w:t>计划</w:t>
      </w:r>
      <w:r>
        <w:rPr>
          <w:rFonts w:hint="eastAsia" w:ascii="宋体" w:hAnsi="宋体" w:cs="宋体"/>
          <w:bCs/>
          <w:color w:val="000000" w:themeColor="text1"/>
          <w:sz w:val="24"/>
          <w:highlight w:val="none"/>
          <w14:textFill>
            <w14:solidFill>
              <w14:schemeClr w14:val="tx1"/>
            </w14:solidFill>
          </w14:textFill>
        </w:rPr>
        <w:t>资产净值5%的现金或者到期日在一年以内的国债、中央银行票据和政策性金融债券。</w:t>
      </w:r>
    </w:p>
    <w:p>
      <w:pPr>
        <w:numPr>
          <w:ilvl w:val="0"/>
          <w:numId w:val="19"/>
        </w:numPr>
        <w:spacing w:line="360" w:lineRule="auto"/>
        <w:ind w:firstLine="720" w:firstLineChars="300"/>
        <w:jc w:val="left"/>
        <w:rPr>
          <w:rFonts w:hint="default" w:ascii="宋体" w:hAnsi="宋体" w:eastAsia="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本理财计划应当在开放日及开放日前7个工作日内持有不低于该理财计划资产净值5%的现金或者到期日在一年以内的国债、中央银行票据和政策性金融债券。</w:t>
      </w:r>
    </w:p>
    <w:p>
      <w:pPr>
        <w:numPr>
          <w:ilvl w:val="0"/>
          <w:numId w:val="19"/>
        </w:numPr>
        <w:spacing w:line="360" w:lineRule="auto"/>
        <w:ind w:firstLine="720" w:firstLineChars="300"/>
        <w:jc w:val="left"/>
        <w:rPr>
          <w:rFonts w:hint="default" w:ascii="宋体" w:hAnsi="宋体" w:eastAsia="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本理财计划不存在活跃交易市场，并且需要采用估值技术确定公允价值的资产比例不得超过理财产品净资产50%以上。</w:t>
      </w:r>
    </w:p>
    <w:p>
      <w:pPr>
        <w:numPr>
          <w:ilvl w:val="0"/>
          <w:numId w:val="18"/>
        </w:numPr>
        <w:spacing w:line="360" w:lineRule="auto"/>
        <w:ind w:firstLine="480" w:firstLineChars="200"/>
        <w:jc w:val="left"/>
        <w:rPr>
          <w:rFonts w:hint="default" w:ascii="宋体" w:hAnsi="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在开放日前一工作日内，本理财计划7个工作日可变现资产的可变现价值应当不低于该理财计划资产净值的10%。</w:t>
      </w:r>
    </w:p>
    <w:p>
      <w:pPr>
        <w:numPr>
          <w:ilvl w:val="0"/>
          <w:numId w:val="20"/>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其他投资限制</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color w:val="000000" w:themeColor="text1"/>
          <w:sz w:val="24"/>
          <w:highlight w:val="none"/>
          <w14:textFill>
            <w14:solidFill>
              <w14:schemeClr w14:val="tx1"/>
            </w14:solidFill>
          </w14:textFill>
        </w:rPr>
        <w:fldChar w:fldCharType="begin"/>
      </w:r>
      <w:r>
        <w:rPr>
          <w:rFonts w:ascii="宋体" w:hAnsi="宋体" w:cs="宋体"/>
          <w:bCs/>
          <w:color w:val="000000" w:themeColor="text1"/>
          <w:sz w:val="24"/>
          <w:highlight w:val="none"/>
          <w14:textFill>
            <w14:solidFill>
              <w14:schemeClr w14:val="tx1"/>
            </w14:solidFill>
          </w14:textFill>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color w:val="000000" w:themeColor="text1"/>
          <w:sz w:val="24"/>
          <w:highlight w:val="none"/>
          <w14:textFill>
            <w14:solidFill>
              <w14:schemeClr w14:val="tx1"/>
            </w14:solidFill>
          </w14:textFill>
        </w:rPr>
        <w:fldChar w:fldCharType="separate"/>
      </w:r>
      <w:r>
        <w:rPr>
          <w:rFonts w:ascii="宋体" w:hAnsi="宋体" w:cs="宋体"/>
          <w:bCs/>
          <w:color w:val="000000" w:themeColor="text1"/>
          <w:sz w:val="24"/>
          <w:highlight w:val="none"/>
          <w14:textFill>
            <w14:solidFill>
              <w14:schemeClr w14:val="tx1"/>
            </w14:solidFill>
          </w14:textFill>
        </w:rPr>
        <w:t>资产支持证券</w:t>
      </w:r>
      <w:r>
        <w:rPr>
          <w:rFonts w:ascii="宋体" w:hAnsi="宋体" w:cs="宋体"/>
          <w:bCs/>
          <w:color w:val="000000" w:themeColor="text1"/>
          <w:sz w:val="24"/>
          <w:highlight w:val="none"/>
          <w14:textFill>
            <w14:solidFill>
              <w14:schemeClr w14:val="tx1"/>
            </w14:solidFill>
          </w14:textFill>
        </w:rPr>
        <w:fldChar w:fldCharType="end"/>
      </w:r>
      <w:r>
        <w:rPr>
          <w:rFonts w:hint="eastAsia" w:ascii="宋体" w:hAnsi="宋体" w:cs="宋体"/>
          <w:bCs/>
          <w:color w:val="000000" w:themeColor="text1"/>
          <w:sz w:val="24"/>
          <w:highlight w:val="none"/>
          <w14:textFill>
            <w14:solidFill>
              <w14:schemeClr w14:val="tx1"/>
            </w14:solidFill>
          </w14:textFill>
        </w:rPr>
        <w:t>，不得直接或间接投资于未上市公司股权及其受（收）益权。</w:t>
      </w:r>
    </w:p>
    <w:p>
      <w:pPr>
        <w:numPr>
          <w:ilvl w:val="0"/>
          <w:numId w:val="12"/>
        </w:numPr>
        <w:spacing w:line="360" w:lineRule="auto"/>
        <w:ind w:left="0" w:leftChars="0" w:firstLine="482" w:firstLineChars="200"/>
        <w:jc w:val="left"/>
        <w:outlineLvl w:val="2"/>
        <w:rPr>
          <w:rFonts w:hint="eastAsia" w:ascii="宋体" w:hAnsi="宋体" w:cs="宋体"/>
          <w:b/>
          <w:bCs w:val="0"/>
          <w:color w:val="000000" w:themeColor="text1"/>
          <w:sz w:val="24"/>
          <w:highlight w:val="none"/>
          <w14:textFill>
            <w14:solidFill>
              <w14:schemeClr w14:val="tx1"/>
            </w14:solidFill>
          </w14:textFill>
        </w:rPr>
      </w:pPr>
      <w:r>
        <w:rPr>
          <w:rFonts w:hint="eastAsia" w:ascii="宋体" w:hAnsi="宋体" w:cs="宋体"/>
          <w:b/>
          <w:bCs w:val="0"/>
          <w:color w:val="000000" w:themeColor="text1"/>
          <w:sz w:val="24"/>
          <w:highlight w:val="none"/>
          <w:lang w:eastAsia="zh-CN"/>
          <w14:textFill>
            <w14:solidFill>
              <w14:schemeClr w14:val="tx1"/>
            </w14:solidFill>
          </w14:textFill>
        </w:rPr>
        <w:t>拟投资市场、资产的流动性风险评估</w:t>
      </w:r>
    </w:p>
    <w:p>
      <w:pPr>
        <w:numPr>
          <w:ilvl w:val="0"/>
          <w:numId w:val="0"/>
        </w:numPr>
        <w:spacing w:line="360" w:lineRule="auto"/>
        <w:ind w:firstLine="480" w:firstLineChars="200"/>
        <w:jc w:val="left"/>
        <w:rPr>
          <w:rFonts w:hint="eastAsia" w:ascii="宋体" w:hAnsi="宋体" w:cs="宋体"/>
          <w:b w:val="0"/>
          <w:bCs/>
          <w:color w:val="000000" w:themeColor="text1"/>
          <w:sz w:val="24"/>
          <w:highlight w:val="none"/>
          <w:lang w:val="en-US" w:eastAsia="zh-CN"/>
          <w14:textFill>
            <w14:solidFill>
              <w14:schemeClr w14:val="tx1"/>
            </w14:solidFill>
          </w14:textFill>
        </w:rPr>
      </w:pPr>
      <w:r>
        <w:rPr>
          <w:rFonts w:hint="eastAsia" w:ascii="宋体" w:hAnsi="宋体" w:cs="宋体"/>
          <w:b w:val="0"/>
          <w:bCs/>
          <w:color w:val="000000" w:themeColor="text1"/>
          <w:sz w:val="24"/>
          <w:highlight w:val="none"/>
          <w:lang w:eastAsia="zh-CN"/>
          <w14:textFill>
            <w14:solidFill>
              <w14:schemeClr w14:val="tx1"/>
            </w14:solidFill>
          </w14:textFill>
        </w:rPr>
        <w:t>本理财计划</w:t>
      </w:r>
      <w:r>
        <w:rPr>
          <w:rFonts w:hint="eastAsia" w:ascii="宋体" w:hAnsi="宋体" w:cs="宋体"/>
          <w:b w:val="0"/>
          <w:bCs/>
          <w:color w:val="000000" w:themeColor="text1"/>
          <w:sz w:val="24"/>
          <w:highlight w:val="none"/>
          <w:lang w:val="en-US" w:eastAsia="zh-CN"/>
          <w14:textFill>
            <w14:solidFill>
              <w14:schemeClr w14:val="tx1"/>
            </w14:solidFill>
          </w14:textFill>
        </w:rPr>
        <w:t>拟投资市场可能面临的流动性风险如下：</w:t>
      </w:r>
    </w:p>
    <w:p>
      <w:pPr>
        <w:numPr>
          <w:ilvl w:val="0"/>
          <w:numId w:val="21"/>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投资于</w:t>
      </w:r>
      <w:r>
        <w:rPr>
          <w:rFonts w:hint="eastAsia" w:ascii="宋体" w:hAnsi="宋体" w:cs="宋体"/>
          <w:bCs/>
          <w:color w:val="000000" w:themeColor="text1"/>
          <w:sz w:val="24"/>
          <w:highlight w:val="none"/>
          <w:lang w:val="en-US" w:eastAsia="zh-CN"/>
          <w14:textFill>
            <w14:solidFill>
              <w14:schemeClr w14:val="tx1"/>
            </w14:solidFill>
          </w14:textFill>
        </w:rPr>
        <w:t>标准化固收类资产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21"/>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21"/>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以上风险仅为列举性质，未能详尽列明拟投资市场和资产面临的全部流动性风险</w:t>
      </w:r>
      <w:r>
        <w:rPr>
          <w:rFonts w:hint="default" w:ascii="宋体" w:hAnsi="宋体" w:cs="宋体"/>
          <w:bCs/>
          <w:color w:val="000000" w:themeColor="text1"/>
          <w:sz w:val="24"/>
          <w:highlight w:val="none"/>
          <w:lang w:val="en-US" w:eastAsia="zh-CN"/>
          <w14:textFill>
            <w14:solidFill>
              <w14:schemeClr w14:val="tx1"/>
            </w14:solidFill>
          </w14:textFill>
        </w:rPr>
        <w:t>可能导致投资者投资本金及收益损失</w:t>
      </w:r>
      <w:r>
        <w:rPr>
          <w:rFonts w:hint="eastAsia" w:ascii="宋体" w:hAnsi="宋体" w:cs="宋体"/>
          <w:bCs/>
          <w:color w:val="000000" w:themeColor="text1"/>
          <w:sz w:val="24"/>
          <w:highlight w:val="none"/>
          <w:lang w:val="en-US" w:eastAsia="zh-CN"/>
          <w14:textFill>
            <w14:solidFill>
              <w14:schemeClr w14:val="tx1"/>
            </w14:solidFill>
          </w14:textFill>
        </w:rPr>
        <w:t>或延期兑付</w:t>
      </w:r>
      <w:r>
        <w:rPr>
          <w:rFonts w:hint="default" w:ascii="宋体" w:hAnsi="宋体" w:cs="宋体"/>
          <w:bCs/>
          <w:color w:val="000000" w:themeColor="text1"/>
          <w:sz w:val="24"/>
          <w:highlight w:val="none"/>
          <w:lang w:val="en-US" w:eastAsia="zh-CN"/>
          <w14:textFill>
            <w14:solidFill>
              <w14:schemeClr w14:val="tx1"/>
            </w14:solidFill>
          </w14:textFill>
        </w:rPr>
        <w:t>的所有因素</w:t>
      </w:r>
      <w:r>
        <w:rPr>
          <w:rFonts w:hint="eastAsia" w:ascii="宋体" w:hAnsi="宋体" w:cs="宋体"/>
          <w:bCs/>
          <w:color w:val="000000" w:themeColor="text1"/>
          <w:sz w:val="24"/>
          <w:highlight w:val="none"/>
          <w:lang w:val="en-US" w:eastAsia="zh-CN"/>
          <w14:textFill>
            <w14:solidFill>
              <w14:schemeClr w14:val="tx1"/>
            </w14:solidFill>
          </w14:textFill>
        </w:rPr>
        <w:t>。管理人会进行标的的分散化投资并结合对各类标的资产的预期流动性合理进行资产配置，最大程度防范流动性风险。</w:t>
      </w:r>
    </w:p>
    <w:p>
      <w:pPr>
        <w:numPr>
          <w:ilvl w:val="0"/>
          <w:numId w:val="0"/>
        </w:numPr>
        <w:spacing w:line="360" w:lineRule="auto"/>
        <w:ind w:firstLine="480" w:firstLineChars="200"/>
        <w:jc w:val="left"/>
        <w:rPr>
          <w:rFonts w:hint="eastAsia" w:ascii="宋体" w:hAnsi="宋体" w:cs="宋体"/>
          <w:bCs/>
          <w:color w:val="000000" w:themeColor="text1"/>
          <w:sz w:val="24"/>
          <w:highlight w:val="none"/>
          <w:lang w:val="en-US" w:eastAsia="zh-CN"/>
          <w14:textFill>
            <w14:solidFill>
              <w14:schemeClr w14:val="tx1"/>
            </w14:solidFill>
          </w14:textFill>
        </w:rPr>
      </w:pPr>
    </w:p>
    <w:p>
      <w:pPr>
        <w:numPr>
          <w:ilvl w:val="0"/>
          <w:numId w:val="22"/>
        </w:numPr>
        <w:spacing w:line="360" w:lineRule="auto"/>
        <w:ind w:firstLine="482" w:firstLineChars="200"/>
        <w:jc w:val="left"/>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合作机构及主要职责</w:t>
      </w:r>
    </w:p>
    <w:p>
      <w:pPr>
        <w:numPr>
          <w:ilvl w:val="0"/>
          <w:numId w:val="23"/>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托管人</w:t>
      </w:r>
    </w:p>
    <w:tbl>
      <w:tblPr>
        <w:tblStyle w:val="11"/>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托管人名称</w:t>
            </w:r>
          </w:p>
        </w:tc>
        <w:tc>
          <w:tcPr>
            <w:tcW w:w="5790" w:type="dxa"/>
            <w:noWrap w:val="0"/>
            <w:vAlign w:val="top"/>
          </w:tcPr>
          <w:p>
            <w:pPr>
              <w:spacing w:line="360" w:lineRule="auto"/>
              <w:jc w:val="left"/>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托管人住所</w:t>
            </w:r>
          </w:p>
        </w:tc>
        <w:tc>
          <w:tcPr>
            <w:tcW w:w="5790" w:type="dxa"/>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杭州市</w:t>
            </w:r>
            <w:r>
              <w:rPr>
                <w:rFonts w:hint="eastAsia" w:ascii="宋体" w:hAnsi="宋体" w:cs="宋体"/>
                <w:bCs/>
                <w:color w:val="000000" w:themeColor="text1"/>
                <w:sz w:val="21"/>
                <w:szCs w:val="21"/>
                <w:highlight w:val="none"/>
                <w:lang w:val="en-US" w:eastAsia="zh-CN"/>
                <w14:textFill>
                  <w14:solidFill>
                    <w14:schemeClr w14:val="tx1"/>
                  </w14:solidFill>
                </w14:textFill>
              </w:rPr>
              <w:t>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托管人职责</w:t>
            </w:r>
          </w:p>
        </w:tc>
        <w:tc>
          <w:tcPr>
            <w:tcW w:w="5790" w:type="dxa"/>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主要提供包括账户开立、资金保管、资金结算、估值核对等理财产品托管服务。</w:t>
            </w:r>
          </w:p>
        </w:tc>
      </w:tr>
    </w:tbl>
    <w:p>
      <w:pPr>
        <w:numPr>
          <w:ilvl w:val="0"/>
          <w:numId w:val="24"/>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销售机构</w:t>
      </w:r>
    </w:p>
    <w:tbl>
      <w:tblPr>
        <w:tblStyle w:val="11"/>
        <w:tblW w:w="7802"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2475"/>
        <w:gridCol w:w="1155"/>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restart"/>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销售机构信息</w:t>
            </w:r>
          </w:p>
        </w:tc>
        <w:tc>
          <w:tcPr>
            <w:tcW w:w="2475" w:type="dxa"/>
            <w:vMerge w:val="restart"/>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lang w:val="en-US" w:eastAsia="zh-CN"/>
                <w14:textFill>
                  <w14:solidFill>
                    <w14:schemeClr w14:val="tx1"/>
                  </w14:solidFill>
                </w14:textFill>
              </w:rPr>
              <w:t>杭州</w:t>
            </w:r>
            <w:r>
              <w:rPr>
                <w:rFonts w:hint="eastAsia" w:ascii="宋体" w:hAnsi="宋体" w:cs="宋体"/>
                <w:bCs/>
                <w:color w:val="000000" w:themeColor="text1"/>
                <w:sz w:val="21"/>
                <w:szCs w:val="21"/>
                <w:highlight w:val="none"/>
                <w14:textFill>
                  <w14:solidFill>
                    <w14:schemeClr w14:val="tx1"/>
                  </w14:solidFill>
                </w14:textFill>
              </w:rPr>
              <w:t>银行股份有限公司</w:t>
            </w:r>
          </w:p>
        </w:tc>
        <w:tc>
          <w:tcPr>
            <w:tcW w:w="1155"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住所</w:t>
            </w:r>
          </w:p>
        </w:tc>
        <w:tc>
          <w:tcPr>
            <w:tcW w:w="3210" w:type="dxa"/>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杭州市</w:t>
            </w:r>
            <w:r>
              <w:rPr>
                <w:rFonts w:hint="eastAsia" w:ascii="宋体" w:hAnsi="宋体" w:cs="宋体"/>
                <w:bCs/>
                <w:color w:val="000000" w:themeColor="text1"/>
                <w:sz w:val="21"/>
                <w:szCs w:val="21"/>
                <w:highlight w:val="none"/>
                <w:lang w:val="en-US" w:eastAsia="zh-CN"/>
                <w14:textFill>
                  <w14:solidFill>
                    <w14:schemeClr w14:val="tx1"/>
                  </w14:solidFill>
                </w14:textFill>
              </w:rPr>
              <w:t>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p>
        </w:tc>
        <w:tc>
          <w:tcPr>
            <w:tcW w:w="2475" w:type="dxa"/>
            <w:vMerge w:val="continue"/>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p>
        </w:tc>
        <w:tc>
          <w:tcPr>
            <w:tcW w:w="1155"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客服热线</w:t>
            </w:r>
          </w:p>
        </w:tc>
        <w:tc>
          <w:tcPr>
            <w:tcW w:w="3210"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95398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p>
        </w:tc>
        <w:tc>
          <w:tcPr>
            <w:tcW w:w="2475" w:type="dxa"/>
            <w:vMerge w:val="restart"/>
            <w:noWrap w:val="0"/>
            <w:vAlign w:val="center"/>
          </w:tcPr>
          <w:p>
            <w:pPr>
              <w:spacing w:line="360" w:lineRule="auto"/>
              <w:jc w:val="center"/>
              <w:rPr>
                <w:rFonts w:hint="eastAsia" w:ascii="宋体" w:hAnsi="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兰州银行股份有限公司</w:t>
            </w:r>
          </w:p>
        </w:tc>
        <w:tc>
          <w:tcPr>
            <w:tcW w:w="1155" w:type="dxa"/>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住所</w:t>
            </w:r>
          </w:p>
        </w:tc>
        <w:tc>
          <w:tcPr>
            <w:tcW w:w="3210" w:type="dxa"/>
            <w:noWrap w:val="0"/>
            <w:vAlign w:val="center"/>
          </w:tcPr>
          <w:p>
            <w:pPr>
              <w:spacing w:line="360" w:lineRule="auto"/>
              <w:jc w:val="center"/>
              <w:rPr>
                <w:rFonts w:hint="eastAsia" w:ascii="宋体" w:hAnsi="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甘肃省兰州市酒泉路211号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p>
        </w:tc>
        <w:tc>
          <w:tcPr>
            <w:tcW w:w="2475" w:type="dxa"/>
            <w:vMerge w:val="continue"/>
            <w:noWrap w:val="0"/>
            <w:vAlign w:val="center"/>
          </w:tcPr>
          <w:p>
            <w:pPr>
              <w:spacing w:line="360" w:lineRule="auto"/>
              <w:jc w:val="center"/>
              <w:rPr>
                <w:rFonts w:hint="eastAsia" w:ascii="宋体" w:hAnsi="宋体" w:cs="宋体"/>
                <w:bCs/>
                <w:color w:val="000000" w:themeColor="text1"/>
                <w:sz w:val="21"/>
                <w:szCs w:val="21"/>
                <w:highlight w:val="none"/>
                <w:lang w:val="en-US" w:eastAsia="zh-CN"/>
                <w14:textFill>
                  <w14:solidFill>
                    <w14:schemeClr w14:val="tx1"/>
                  </w14:solidFill>
                </w14:textFill>
              </w:rPr>
            </w:pPr>
          </w:p>
        </w:tc>
        <w:tc>
          <w:tcPr>
            <w:tcW w:w="1155" w:type="dxa"/>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客服热线</w:t>
            </w:r>
          </w:p>
        </w:tc>
        <w:tc>
          <w:tcPr>
            <w:tcW w:w="3210" w:type="dxa"/>
            <w:noWrap w:val="0"/>
            <w:vAlign w:val="center"/>
          </w:tcPr>
          <w:p>
            <w:pPr>
              <w:spacing w:line="360" w:lineRule="auto"/>
              <w:jc w:val="center"/>
              <w:rPr>
                <w:rFonts w:hint="eastAsia" w:ascii="宋体" w:hAnsi="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4008896799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p>
        </w:tc>
        <w:tc>
          <w:tcPr>
            <w:tcW w:w="2475" w:type="dxa"/>
            <w:vMerge w:val="restart"/>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eastAsia="宋体" w:cs="宋体"/>
                <w:bCs/>
                <w:i w:val="0"/>
                <w:color w:val="000000" w:themeColor="text1"/>
                <w:kern w:val="2"/>
                <w:sz w:val="21"/>
                <w:szCs w:val="21"/>
                <w:highlight w:val="none"/>
                <w:u w:val="none"/>
                <w:lang w:val="en-US" w:eastAsia="zh-CN" w:bidi="ar"/>
                <w14:textFill>
                  <w14:solidFill>
                    <w14:schemeClr w14:val="tx1"/>
                  </w14:solidFill>
                </w14:textFill>
              </w:rPr>
              <w:t>杭银理财有限责任公司</w:t>
            </w:r>
          </w:p>
        </w:tc>
        <w:tc>
          <w:tcPr>
            <w:tcW w:w="1155" w:type="dxa"/>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住所</w:t>
            </w:r>
          </w:p>
        </w:tc>
        <w:tc>
          <w:tcPr>
            <w:tcW w:w="3210" w:type="dxa"/>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eastAsia="宋体" w:cs="宋体"/>
                <w:bCs/>
                <w:i w:val="0"/>
                <w:color w:val="000000" w:themeColor="text1"/>
                <w:kern w:val="2"/>
                <w:sz w:val="21"/>
                <w:szCs w:val="21"/>
                <w:highlight w:val="none"/>
                <w:u w:val="none"/>
                <w:lang w:val="en-US" w:eastAsia="zh-CN" w:bidi="ar"/>
                <w14:textFill>
                  <w14:solidFill>
                    <w14:schemeClr w14:val="tx1"/>
                  </w14:solidFill>
                </w14:textFill>
              </w:rPr>
              <w:t>浙江省杭州市拱墅区庆春路38号金龙财富中心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p>
        </w:tc>
        <w:tc>
          <w:tcPr>
            <w:tcW w:w="2475" w:type="dxa"/>
            <w:vMerge w:val="continue"/>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p>
        </w:tc>
        <w:tc>
          <w:tcPr>
            <w:tcW w:w="1155" w:type="dxa"/>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客服热线</w:t>
            </w:r>
          </w:p>
        </w:tc>
        <w:tc>
          <w:tcPr>
            <w:tcW w:w="3210" w:type="dxa"/>
            <w:noWrap w:val="0"/>
            <w:vAlign w:val="center"/>
          </w:tcPr>
          <w:p>
            <w:pPr>
              <w:spacing w:line="360" w:lineRule="auto"/>
              <w:jc w:val="center"/>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eastAsia="宋体" w:cs="宋体"/>
                <w:bCs/>
                <w:i w:val="0"/>
                <w:color w:val="000000" w:themeColor="text1"/>
                <w:kern w:val="2"/>
                <w:sz w:val="21"/>
                <w:szCs w:val="21"/>
                <w:highlight w:val="none"/>
                <w:u w:val="none"/>
                <w:lang w:val="en-US" w:eastAsia="zh-CN" w:bidi="ar"/>
                <w14:textFill>
                  <w14:solidFill>
                    <w14:schemeClr w14:val="tx1"/>
                  </w14:solidFill>
                </w14:textFill>
              </w:rPr>
              <w:t>400-8950-999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noWrap w:val="0"/>
            <w:vAlign w:val="center"/>
          </w:tcPr>
          <w:p>
            <w:pPr>
              <w:spacing w:line="360" w:lineRule="auto"/>
              <w:jc w:val="center"/>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销售机构职责</w:t>
            </w:r>
          </w:p>
        </w:tc>
        <w:tc>
          <w:tcPr>
            <w:tcW w:w="6840" w:type="dxa"/>
            <w:gridSpan w:val="3"/>
            <w:noWrap w:val="0"/>
            <w:vAlign w:val="top"/>
          </w:tcPr>
          <w:p>
            <w:pPr>
              <w:spacing w:line="360" w:lineRule="auto"/>
              <w:jc w:val="left"/>
              <w:rPr>
                <w:rFonts w:hint="eastAsia"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主要负责理财计划推广、投资者风险承受能力评估、投资者适当性管理、理财计划份额认购、申购及赎回办理。</w:t>
            </w:r>
          </w:p>
          <w:p>
            <w:pPr>
              <w:spacing w:line="360" w:lineRule="auto"/>
              <w:jc w:val="left"/>
              <w:rPr>
                <w:rFonts w:ascii="宋体" w:hAnsi="宋体" w:cs="宋体"/>
                <w:bCs/>
                <w:color w:val="000000" w:themeColor="text1"/>
                <w:sz w:val="21"/>
                <w:szCs w:val="21"/>
                <w:highlight w:val="none"/>
                <w14:textFill>
                  <w14:solidFill>
                    <w14:schemeClr w14:val="tx1"/>
                  </w14:solidFill>
                </w14:textFill>
              </w:rPr>
            </w:pPr>
            <w:r>
              <w:rPr>
                <w:rFonts w:hint="eastAsia" w:ascii="宋体" w:hAnsi="宋体" w:cs="宋体"/>
                <w:bCs/>
                <w:color w:val="000000" w:themeColor="text1"/>
                <w:sz w:val="21"/>
                <w:szCs w:val="21"/>
                <w:highlight w:val="none"/>
                <w14:textFill>
                  <w14:solidFill>
                    <w14:schemeClr w14:val="tx1"/>
                  </w14:solidFill>
                </w14:textFill>
              </w:rPr>
              <w:t>协助管理人负责与投资者签订理财计划合同、与投资者沟通及进行信息披露、接受投资者咨询和维护等销售服务。</w:t>
            </w:r>
          </w:p>
        </w:tc>
      </w:tr>
    </w:tbl>
    <w:p>
      <w:pPr>
        <w:spacing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本理财计划后续如新增/减少销售机构或销售机构信息变更，请以管理人最新公告</w:t>
      </w:r>
      <w:r>
        <w:rPr>
          <w:rFonts w:hint="eastAsia" w:ascii="宋体" w:hAnsi="宋体" w:cs="宋体"/>
          <w:bCs/>
          <w:color w:val="000000" w:themeColor="text1"/>
          <w:sz w:val="24"/>
          <w:highlight w:val="none"/>
          <w:lang w:eastAsia="zh-CN"/>
          <w14:textFill>
            <w14:solidFill>
              <w14:schemeClr w14:val="tx1"/>
            </w14:solidFill>
          </w14:textFill>
        </w:rPr>
        <w:t>或官方网站展示</w:t>
      </w:r>
      <w:r>
        <w:rPr>
          <w:rFonts w:hint="eastAsia" w:ascii="宋体" w:hAnsi="宋体" w:cs="宋体"/>
          <w:bCs/>
          <w:color w:val="000000" w:themeColor="text1"/>
          <w:sz w:val="24"/>
          <w:highlight w:val="none"/>
          <w14:textFill>
            <w14:solidFill>
              <w14:schemeClr w14:val="tx1"/>
            </w14:solidFill>
          </w14:textFill>
        </w:rPr>
        <w:t>为准。</w:t>
      </w:r>
    </w:p>
    <w:p>
      <w:pPr>
        <w:spacing w:line="360" w:lineRule="auto"/>
        <w:jc w:val="left"/>
        <w:rPr>
          <w:rFonts w:ascii="宋体" w:hAnsi="宋体" w:cs="宋体"/>
          <w:bCs/>
          <w:color w:val="000000" w:themeColor="text1"/>
          <w:sz w:val="24"/>
          <w:highlight w:val="none"/>
          <w14:textFill>
            <w14:solidFill>
              <w14:schemeClr w14:val="tx1"/>
            </w14:solidFill>
          </w14:textFill>
        </w:rPr>
      </w:pPr>
    </w:p>
    <w:p>
      <w:pPr>
        <w:numPr>
          <w:ilvl w:val="0"/>
          <w:numId w:val="22"/>
        </w:numPr>
        <w:spacing w:line="360" w:lineRule="auto"/>
        <w:ind w:firstLine="482" w:firstLineChars="200"/>
        <w:jc w:val="left"/>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估值</w:t>
      </w:r>
    </w:p>
    <w:p>
      <w:pPr>
        <w:numPr>
          <w:ilvl w:val="0"/>
          <w:numId w:val="2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估值日</w:t>
      </w:r>
    </w:p>
    <w:p>
      <w:p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本理财计划估值日为每个</w:t>
      </w:r>
      <w:r>
        <w:rPr>
          <w:rFonts w:hint="eastAsia" w:ascii="宋体" w:hAnsi="宋体" w:cs="宋体"/>
          <w:bCs/>
          <w:color w:val="000000" w:themeColor="text1"/>
          <w:sz w:val="24"/>
          <w:highlight w:val="none"/>
          <w:lang w:eastAsia="zh-CN"/>
          <w14:textFill>
            <w14:solidFill>
              <w14:schemeClr w14:val="tx1"/>
            </w14:solidFill>
          </w14:textFill>
        </w:rPr>
        <w:t>工作日</w:t>
      </w:r>
      <w:r>
        <w:rPr>
          <w:rFonts w:hint="eastAsia" w:ascii="宋体" w:hAnsi="宋体" w:cs="宋体"/>
          <w:bCs/>
          <w:color w:val="000000" w:themeColor="text1"/>
          <w:sz w:val="24"/>
          <w:highlight w:val="none"/>
          <w14:textFill>
            <w14:solidFill>
              <w14:schemeClr w14:val="tx1"/>
            </w14:solidFill>
          </w14:textFill>
        </w:rPr>
        <w:t>，定期由理财管理人和理财托管人核对估值结果并向投资者披露，具体日期以管理人公告为准。</w:t>
      </w:r>
    </w:p>
    <w:p>
      <w:pPr>
        <w:numPr>
          <w:ilvl w:val="0"/>
          <w:numId w:val="2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估值对象</w:t>
      </w:r>
    </w:p>
    <w:p>
      <w:p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本理财计划所投资的所有资产及负债。</w:t>
      </w:r>
    </w:p>
    <w:p>
      <w:pPr>
        <w:numPr>
          <w:ilvl w:val="0"/>
          <w:numId w:val="2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估值目的</w:t>
      </w:r>
    </w:p>
    <w:p>
      <w:p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客观、准确反映理财计划的价值。</w:t>
      </w:r>
    </w:p>
    <w:p>
      <w:pPr>
        <w:numPr>
          <w:ilvl w:val="0"/>
          <w:numId w:val="2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估值方法</w:t>
      </w:r>
    </w:p>
    <w:p>
      <w:p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理财计划所投资各类资产按照会计准则和监管要求进行会计分类，并按如下规则进行计量：</w:t>
      </w:r>
    </w:p>
    <w:p>
      <w:pPr>
        <w:numPr>
          <w:ilvl w:val="0"/>
          <w:numId w:val="26"/>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货币市场工具类资产</w:t>
      </w:r>
    </w:p>
    <w:p>
      <w:pPr>
        <w:pStyle w:val="17"/>
        <w:adjustRightInd/>
        <w:spacing w:line="360" w:lineRule="auto"/>
        <w:ind w:firstLine="480" w:firstLineChars="200"/>
        <w:rPr>
          <w:rFonts w:hint="eastAsia" w:ascii="宋体" w:hAnsi="宋体" w:eastAsia="宋体" w:cs="宋体"/>
          <w:bCs/>
          <w:color w:val="000000" w:themeColor="text1"/>
          <w:kern w:val="2"/>
          <w:highlight w:val="none"/>
          <w:lang w:eastAsia="zh-CN"/>
          <w14:textFill>
            <w14:solidFill>
              <w14:schemeClr w14:val="tx1"/>
            </w14:solidFill>
          </w14:textFill>
        </w:rPr>
      </w:pPr>
      <w:r>
        <w:rPr>
          <w:rFonts w:hint="eastAsia" w:ascii="宋体" w:hAnsi="宋体" w:cs="宋体"/>
          <w:bCs/>
          <w:color w:val="000000" w:themeColor="text1"/>
          <w:kern w:val="2"/>
          <w:highlight w:val="none"/>
          <w:lang w:eastAsia="zh-CN"/>
          <w14:textFill>
            <w14:solidFill>
              <w14:schemeClr w14:val="tx1"/>
            </w14:solidFill>
          </w14:textFill>
        </w:rPr>
        <w:t>银行存款</w:t>
      </w:r>
      <w:r>
        <w:rPr>
          <w:rFonts w:hint="eastAsia" w:ascii="宋体" w:hAnsi="宋体" w:cs="宋体"/>
          <w:bCs/>
          <w:color w:val="000000" w:themeColor="text1"/>
          <w:kern w:val="2"/>
          <w:highlight w:val="none"/>
          <w14:textFill>
            <w14:solidFill>
              <w14:schemeClr w14:val="tx1"/>
            </w14:solidFill>
          </w14:textFill>
        </w:rPr>
        <w:t>及回购，以本金列示，按商定利率在实际持有期间内逐日计提利息。</w:t>
      </w:r>
    </w:p>
    <w:p>
      <w:pPr>
        <w:numPr>
          <w:ilvl w:val="0"/>
          <w:numId w:val="26"/>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债券</w:t>
      </w:r>
      <w:r>
        <w:rPr>
          <w:rFonts w:hint="eastAsia" w:ascii="宋体" w:hAnsi="宋体" w:cs="宋体"/>
          <w:bCs/>
          <w:color w:val="000000" w:themeColor="text1"/>
          <w:sz w:val="24"/>
          <w:highlight w:val="none"/>
          <w:lang w:eastAsia="zh-CN"/>
          <w14:textFill>
            <w14:solidFill>
              <w14:schemeClr w14:val="tx1"/>
            </w14:solidFill>
          </w14:textFill>
        </w:rPr>
        <w:t>及同业存单类</w:t>
      </w:r>
      <w:r>
        <w:rPr>
          <w:rFonts w:hint="eastAsia" w:ascii="宋体" w:hAnsi="宋体" w:cs="宋体"/>
          <w:bCs/>
          <w:color w:val="000000" w:themeColor="text1"/>
          <w:sz w:val="24"/>
          <w:highlight w:val="none"/>
          <w14:textFill>
            <w14:solidFill>
              <w14:schemeClr w14:val="tx1"/>
            </w14:solidFill>
          </w14:textFill>
        </w:rPr>
        <w:t>资产</w:t>
      </w:r>
    </w:p>
    <w:p>
      <w:pPr>
        <w:numPr>
          <w:ilvl w:val="0"/>
          <w:numId w:val="0"/>
        </w:numPr>
        <w:spacing w:line="360" w:lineRule="auto"/>
        <w:ind w:firstLine="480" w:firstLineChars="200"/>
        <w:rPr>
          <w:rFonts w:hint="default" w:ascii="宋体" w:hAnsi="宋体" w:eastAsia="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债券及同业存单类资产，按市价法估值。市价法不能确定公允价值的，采用估值技术进行估值。</w:t>
      </w:r>
    </w:p>
    <w:p>
      <w:pPr>
        <w:numPr>
          <w:ilvl w:val="0"/>
          <w:numId w:val="26"/>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债权类</w:t>
      </w:r>
      <w:r>
        <w:rPr>
          <w:rFonts w:hint="eastAsia" w:ascii="宋体" w:hAnsi="宋体" w:cs="宋体"/>
          <w:bCs/>
          <w:color w:val="000000" w:themeColor="text1"/>
          <w:sz w:val="24"/>
          <w:highlight w:val="none"/>
          <w14:textFill>
            <w14:solidFill>
              <w14:schemeClr w14:val="tx1"/>
            </w14:solidFill>
          </w14:textFill>
        </w:rPr>
        <w:t>资产</w:t>
      </w:r>
    </w:p>
    <w:p>
      <w:pPr>
        <w:spacing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债权类资产，按市价法估值。市价法不能确定其公允价值的，采用估值技术进行估值。</w:t>
      </w:r>
    </w:p>
    <w:p>
      <w:pPr>
        <w:numPr>
          <w:ilvl w:val="0"/>
          <w:numId w:val="26"/>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股权类</w:t>
      </w:r>
      <w:r>
        <w:rPr>
          <w:rFonts w:hint="eastAsia" w:ascii="宋体" w:hAnsi="宋体" w:cs="宋体"/>
          <w:bCs/>
          <w:color w:val="000000" w:themeColor="text1"/>
          <w:sz w:val="24"/>
          <w:highlight w:val="none"/>
          <w14:textFill>
            <w14:solidFill>
              <w14:schemeClr w14:val="tx1"/>
            </w14:solidFill>
          </w14:textFill>
        </w:rPr>
        <w:t>资产</w:t>
      </w:r>
    </w:p>
    <w:p>
      <w:pPr>
        <w:numPr>
          <w:ilvl w:val="0"/>
          <w:numId w:val="27"/>
        </w:numPr>
        <w:spacing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上</w:t>
      </w:r>
      <w:r>
        <w:rPr>
          <w:rFonts w:hint="eastAsia" w:ascii="宋体" w:hAnsi="宋体" w:cs="宋体"/>
          <w:bCs/>
          <w:color w:val="000000" w:themeColor="text1"/>
          <w:sz w:val="24"/>
          <w:highlight w:val="none"/>
          <w14:textFill>
            <w14:solidFill>
              <w14:schemeClr w14:val="tx1"/>
            </w14:solidFill>
          </w14:textFill>
        </w:rPr>
        <w:t>市流通股票按估值日其所在证券交易所的收盘价估值；估值日无交易，且最近交易日后未发生影响公允价值计量的重大事件的，以最近交易日的收盘价估值。</w:t>
      </w:r>
    </w:p>
    <w:p>
      <w:pPr>
        <w:numPr>
          <w:ilvl w:val="0"/>
          <w:numId w:val="27"/>
        </w:numPr>
        <w:spacing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未上市股票的估值：</w:t>
      </w:r>
    </w:p>
    <w:p>
      <w:pPr>
        <w:numPr>
          <w:ilvl w:val="0"/>
          <w:numId w:val="0"/>
        </w:numPr>
        <w:spacing w:line="360" w:lineRule="auto"/>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1）</w:t>
      </w:r>
      <w:r>
        <w:rPr>
          <w:rFonts w:hint="eastAsia" w:ascii="宋体" w:hAnsi="宋体"/>
          <w:color w:val="000000" w:themeColor="text1"/>
          <w:sz w:val="24"/>
          <w:highlight w:val="none"/>
          <w14:textFill>
            <w14:solidFill>
              <w14:schemeClr w14:val="tx1"/>
            </w14:solidFill>
          </w14:textFill>
        </w:rPr>
        <w:t>送股、转增股、配股和公开增发新股等发行未上市的股票，按估值日在证券交易所挂牌的同一股票的市价估值；</w:t>
      </w:r>
    </w:p>
    <w:p>
      <w:pPr>
        <w:numPr>
          <w:ilvl w:val="0"/>
          <w:numId w:val="0"/>
        </w:numPr>
        <w:spacing w:line="360" w:lineRule="auto"/>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r>
        <w:rPr>
          <w:rFonts w:hint="eastAsia" w:ascii="宋体" w:hAnsi="宋体"/>
          <w:color w:val="000000" w:themeColor="text1"/>
          <w:sz w:val="24"/>
          <w:highlight w:val="none"/>
          <w14:textFill>
            <w14:solidFill>
              <w14:schemeClr w14:val="tx1"/>
            </w14:solidFill>
          </w14:textFill>
        </w:rPr>
        <w:t>首次公开发行有明确锁定期的股票，同一股票在交易所上市后，按交易所上市的同一股票的市价估值；</w:t>
      </w:r>
    </w:p>
    <w:p>
      <w:pPr>
        <w:numPr>
          <w:ilvl w:val="0"/>
          <w:numId w:val="0"/>
        </w:numPr>
        <w:spacing w:line="360" w:lineRule="auto"/>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r>
        <w:rPr>
          <w:rFonts w:hint="eastAsia" w:ascii="宋体" w:hAnsi="宋体"/>
          <w:color w:val="000000" w:themeColor="text1"/>
          <w:sz w:val="24"/>
          <w:highlight w:val="none"/>
          <w14:textFill>
            <w14:solidFill>
              <w14:schemeClr w14:val="tx1"/>
            </w14:solidFill>
          </w14:textFill>
        </w:rPr>
        <w:t>首次发行未上市的股票，按发行价格进行估值；</w:t>
      </w:r>
    </w:p>
    <w:p>
      <w:pPr>
        <w:numPr>
          <w:ilvl w:val="0"/>
          <w:numId w:val="0"/>
        </w:numPr>
        <w:spacing w:line="360" w:lineRule="auto"/>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因持有股票而享有的配股权，采用估值技术确定公允价值。</w:t>
      </w:r>
    </w:p>
    <w:p>
      <w:pPr>
        <w:numPr>
          <w:ilvl w:val="0"/>
          <w:numId w:val="27"/>
        </w:numPr>
        <w:spacing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非上市股权的估值：</w:t>
      </w:r>
    </w:p>
    <w:p>
      <w:pPr>
        <w:numPr>
          <w:ilvl w:val="0"/>
          <w:numId w:val="0"/>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非上市股权类资产，按照国家最新规定，采用合理的估值技术进行估值。</w:t>
      </w:r>
    </w:p>
    <w:p>
      <w:pPr>
        <w:numPr>
          <w:ilvl w:val="0"/>
          <w:numId w:val="26"/>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基金、资产管理计划类</w:t>
      </w:r>
      <w:r>
        <w:rPr>
          <w:rFonts w:hint="eastAsia" w:ascii="宋体" w:hAnsi="宋体" w:cs="宋体"/>
          <w:bCs/>
          <w:color w:val="000000" w:themeColor="text1"/>
          <w:sz w:val="24"/>
          <w:highlight w:val="none"/>
          <w14:textFill>
            <w14:solidFill>
              <w14:schemeClr w14:val="tx1"/>
            </w14:solidFill>
          </w14:textFill>
        </w:rPr>
        <w:t>资产</w:t>
      </w:r>
    </w:p>
    <w:p>
      <w:pPr>
        <w:numPr>
          <w:ilvl w:val="0"/>
          <w:numId w:val="0"/>
        </w:numPr>
        <w:spacing w:line="360" w:lineRule="auto"/>
        <w:ind w:firstLine="480" w:firstLineChars="200"/>
        <w:rPr>
          <w:rFonts w:hint="eastAsia" w:ascii="宋体" w:hAnsi="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6"/>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其他资产的估值方法</w:t>
      </w:r>
    </w:p>
    <w:p>
      <w:pPr>
        <w:pStyle w:val="17"/>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kern w:val="2"/>
          <w:highlight w:val="none"/>
          <w:lang w:eastAsia="zh-CN"/>
          <w14:textFill>
            <w14:solidFill>
              <w14:schemeClr w14:val="tx1"/>
            </w14:solidFill>
          </w14:textFill>
        </w:rPr>
        <w:t>以</w:t>
      </w:r>
      <w:r>
        <w:rPr>
          <w:rFonts w:hint="eastAsia" w:ascii="宋体" w:hAnsi="宋体" w:cs="宋体"/>
          <w:bCs/>
          <w:color w:val="000000" w:themeColor="text1"/>
          <w:sz w:val="24"/>
          <w:highlight w:val="none"/>
          <w14:textFill>
            <w14:solidFill>
              <w14:schemeClr w14:val="tx1"/>
            </w14:solidFill>
          </w14:textFill>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当理财计划管理人或托管人认为按上述方法对理财计划进行估值不能客观反映其公允价值的，可以在满足监管要求的前提下协商一致后，</w:t>
      </w:r>
      <w:r>
        <w:rPr>
          <w:rFonts w:hint="eastAsia" w:ascii="宋体" w:hAnsi="宋体" w:cs="宋体"/>
          <w:bCs/>
          <w:color w:val="000000" w:themeColor="text1"/>
          <w:kern w:val="2"/>
          <w:highlight w:val="none"/>
          <w:lang w:eastAsia="zh-CN"/>
          <w14:textFill>
            <w14:solidFill>
              <w14:schemeClr w14:val="tx1"/>
            </w14:solidFill>
          </w14:textFill>
        </w:rPr>
        <w:t>按最能反映公允价值的价格估值，</w:t>
      </w:r>
      <w:r>
        <w:rPr>
          <w:rFonts w:hint="eastAsia" w:ascii="宋体" w:hAnsi="宋体" w:cs="宋体"/>
          <w:bCs/>
          <w:color w:val="000000" w:themeColor="text1"/>
          <w:kern w:val="2"/>
          <w:highlight w:val="none"/>
          <w14:textFill>
            <w14:solidFill>
              <w14:schemeClr w14:val="tx1"/>
            </w14:solidFill>
          </w14:textFill>
        </w:rPr>
        <w:t>并自协商一致日后执行。</w:t>
      </w:r>
    </w:p>
    <w:p>
      <w:pPr>
        <w:pStyle w:val="17"/>
        <w:tabs>
          <w:tab w:val="left" w:pos="0"/>
        </w:tabs>
        <w:spacing w:line="360" w:lineRule="auto"/>
        <w:ind w:firstLine="480" w:firstLineChars="200"/>
        <w:rPr>
          <w:rFonts w:hint="eastAsia" w:ascii="宋体" w:hAnsi="宋体" w:cs="宋体"/>
          <w:bCs/>
          <w:color w:val="000000" w:themeColor="text1"/>
          <w:kern w:val="2"/>
          <w:highlight w:val="none"/>
          <w14:textFill>
            <w14:solidFill>
              <w14:schemeClr w14:val="tx1"/>
            </w14:solidFill>
          </w14:textFill>
        </w:rPr>
      </w:pPr>
      <w:r>
        <w:rPr>
          <w:rFonts w:hint="eastAsia" w:ascii="宋体" w:hAnsi="宋体" w:cs="宋体"/>
          <w:bCs/>
          <w:color w:val="000000" w:themeColor="text1"/>
          <w:kern w:val="2"/>
          <w:highlight w:val="none"/>
          <w14:textFill>
            <w14:solidFill>
              <w14:schemeClr w14:val="tx1"/>
            </w14:solidFill>
          </w14:textFill>
        </w:rPr>
        <w:t>如在本理财计划发行、募集、管理期间，有权管理机关对财务报告准则、估值核算方法标准进行调整，管理人有权根据相关机关要求对本理财计划的估值方法进行相应修改。</w:t>
      </w:r>
    </w:p>
    <w:p>
      <w:pPr>
        <w:numPr>
          <w:ilvl w:val="0"/>
          <w:numId w:val="2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估值差错处理</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暂停估值情形</w:t>
      </w:r>
    </w:p>
    <w:p>
      <w:pPr>
        <w:numPr>
          <w:ilvl w:val="0"/>
          <w:numId w:val="28"/>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理财计划投资所涉及的交易市场遇法定节假日或因其他原因暂停营业时暂停估值，该种情况理财计划估值日期</w:t>
      </w:r>
      <w:r>
        <w:rPr>
          <w:rFonts w:hint="eastAsia" w:ascii="宋体" w:hAnsi="宋体" w:cs="宋体"/>
          <w:bCs/>
          <w:color w:val="000000" w:themeColor="text1"/>
          <w:sz w:val="24"/>
          <w:highlight w:val="none"/>
          <w:lang w:eastAsia="zh-CN"/>
          <w14:textFill>
            <w14:solidFill>
              <w14:schemeClr w14:val="tx1"/>
            </w14:solidFill>
          </w14:textFill>
        </w:rPr>
        <w:t>提前到上</w:t>
      </w:r>
      <w:r>
        <w:rPr>
          <w:rFonts w:hint="eastAsia" w:ascii="宋体" w:hAnsi="宋体" w:cs="宋体"/>
          <w:bCs/>
          <w:color w:val="000000" w:themeColor="text1"/>
          <w:sz w:val="24"/>
          <w:highlight w:val="none"/>
          <w14:textFill>
            <w14:solidFill>
              <w14:schemeClr w14:val="tx1"/>
            </w14:solidFill>
          </w14:textFill>
        </w:rPr>
        <w:t>一交易日。</w:t>
      </w:r>
    </w:p>
    <w:p>
      <w:pPr>
        <w:numPr>
          <w:ilvl w:val="0"/>
          <w:numId w:val="28"/>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因不可抗力或其他情形致使理财计划管理人、理财计划托管人无法准确评估资产价值时。</w:t>
      </w:r>
    </w:p>
    <w:p>
      <w:pPr>
        <w:numPr>
          <w:ilvl w:val="0"/>
          <w:numId w:val="28"/>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当</w:t>
      </w:r>
      <w:r>
        <w:rPr>
          <w:rFonts w:hint="eastAsia" w:ascii="宋体" w:hAnsi="宋体" w:cs="宋体"/>
          <w:bCs/>
          <w:color w:val="000000" w:themeColor="text1"/>
          <w:sz w:val="24"/>
          <w:highlight w:val="none"/>
          <w:lang w:val="en-US" w:eastAsia="zh-CN"/>
          <w14:textFill>
            <w14:solidFill>
              <w14:schemeClr w14:val="tx1"/>
            </w14:solidFill>
          </w14:textFill>
        </w:rPr>
        <w:t>前一估值日理财计划资产净值50%以上的资产不具备活跃交易市场或者在活跃市场中无报价，且不能采用估值技术可靠计量公允价值时，管理人应当暂停该理财计划估值，并按照监管规定采取</w:t>
      </w:r>
      <w:r>
        <w:rPr>
          <w:rFonts w:hint="eastAsia" w:ascii="宋体" w:hAnsi="宋体" w:cs="宋体"/>
          <w:bCs/>
          <w:color w:val="000000" w:themeColor="text1"/>
          <w:sz w:val="24"/>
          <w:highlight w:val="none"/>
          <w14:textFill>
            <w14:solidFill>
              <w14:schemeClr w14:val="tx1"/>
            </w14:solidFill>
          </w14:textFill>
        </w:rPr>
        <w:t>延缓支付赎回款项或暂停接受理财</w:t>
      </w:r>
      <w:r>
        <w:rPr>
          <w:rFonts w:hint="eastAsia" w:ascii="宋体" w:hAnsi="宋体" w:cs="宋体"/>
          <w:bCs/>
          <w:color w:val="000000" w:themeColor="text1"/>
          <w:sz w:val="24"/>
          <w:highlight w:val="none"/>
          <w:lang w:eastAsia="zh-CN"/>
          <w14:textFill>
            <w14:solidFill>
              <w14:schemeClr w14:val="tx1"/>
            </w14:solidFill>
          </w14:textFill>
        </w:rPr>
        <w:t>计划</w:t>
      </w:r>
      <w:r>
        <w:rPr>
          <w:rFonts w:hint="eastAsia" w:ascii="宋体" w:hAnsi="宋体" w:cs="宋体"/>
          <w:bCs/>
          <w:color w:val="000000" w:themeColor="text1"/>
          <w:sz w:val="24"/>
          <w:highlight w:val="none"/>
          <w14:textFill>
            <w14:solidFill>
              <w14:schemeClr w14:val="tx1"/>
            </w14:solidFill>
          </w14:textFill>
        </w:rPr>
        <w:t>认购、赎回申请等</w:t>
      </w:r>
      <w:r>
        <w:rPr>
          <w:rFonts w:hint="eastAsia" w:ascii="宋体" w:hAnsi="宋体" w:cs="宋体"/>
          <w:bCs/>
          <w:color w:val="000000" w:themeColor="text1"/>
          <w:sz w:val="24"/>
          <w:highlight w:val="none"/>
          <w:lang w:val="en-US" w:eastAsia="zh-CN"/>
          <w14:textFill>
            <w14:solidFill>
              <w14:schemeClr w14:val="tx1"/>
            </w14:solidFill>
          </w14:textFill>
        </w:rPr>
        <w:t>措施。</w:t>
      </w:r>
    </w:p>
    <w:p>
      <w:pPr>
        <w:numPr>
          <w:ilvl w:val="0"/>
          <w:numId w:val="28"/>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理财计划管理人、托管人有合理理由认为将影响本理财计划估值的其他情形发生。</w:t>
      </w:r>
    </w:p>
    <w:p>
      <w:pPr>
        <w:numPr>
          <w:ilvl w:val="0"/>
          <w:numId w:val="2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资产账册的建立</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p>
    <w:p>
      <w:pPr>
        <w:numPr>
          <w:ilvl w:val="0"/>
          <w:numId w:val="22"/>
        </w:numPr>
        <w:spacing w:line="360" w:lineRule="auto"/>
        <w:ind w:firstLine="482" w:firstLineChars="200"/>
        <w:jc w:val="left"/>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费用及税收</w:t>
      </w:r>
    </w:p>
    <w:p>
      <w:pPr>
        <w:numPr>
          <w:ilvl w:val="0"/>
          <w:numId w:val="2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费用种类</w:t>
      </w:r>
    </w:p>
    <w:p>
      <w:pPr>
        <w:spacing w:line="360" w:lineRule="auto"/>
        <w:ind w:firstLine="480"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w:t>
      </w:r>
      <w:r>
        <w:rPr>
          <w:rFonts w:hint="eastAsia" w:ascii="宋体" w:hAnsi="宋体" w:cs="宋体"/>
          <w:bCs/>
          <w:color w:val="000000" w:themeColor="text1"/>
          <w:sz w:val="24"/>
          <w:highlight w:val="none"/>
          <w:lang w:eastAsia="zh-CN"/>
          <w14:textFill>
            <w14:solidFill>
              <w14:schemeClr w14:val="tx1"/>
            </w14:solidFill>
          </w14:textFill>
        </w:rPr>
        <w:t>涉及</w:t>
      </w:r>
      <w:r>
        <w:rPr>
          <w:rFonts w:hint="eastAsia" w:ascii="宋体" w:hAnsi="宋体" w:cs="宋体"/>
          <w:bCs/>
          <w:color w:val="000000" w:themeColor="text1"/>
          <w:sz w:val="24"/>
          <w:highlight w:val="none"/>
          <w14:textFill>
            <w14:solidFill>
              <w14:schemeClr w14:val="tx1"/>
            </w14:solidFill>
          </w14:textFill>
        </w:rPr>
        <w:t>费用包括</w:t>
      </w:r>
      <w:r>
        <w:rPr>
          <w:rFonts w:hint="eastAsia" w:ascii="宋体" w:hAnsi="宋体" w:cs="宋体"/>
          <w:bCs/>
          <w:color w:val="000000" w:themeColor="text1"/>
          <w:sz w:val="24"/>
          <w:highlight w:val="none"/>
          <w:lang w:eastAsia="zh-CN"/>
          <w14:textFill>
            <w14:solidFill>
              <w14:schemeClr w14:val="tx1"/>
            </w14:solidFill>
          </w14:textFill>
        </w:rPr>
        <w:t>销售服务费</w:t>
      </w:r>
      <w:r>
        <w:rPr>
          <w:rFonts w:hint="eastAsia" w:ascii="宋体" w:hAnsi="宋体" w:cs="宋体"/>
          <w:bCs/>
          <w:color w:val="000000" w:themeColor="text1"/>
          <w:sz w:val="24"/>
          <w:highlight w:val="none"/>
          <w14:textFill>
            <w14:solidFill>
              <w14:schemeClr w14:val="tx1"/>
            </w14:solidFill>
          </w14:textFill>
        </w:rPr>
        <w:t>、托管费、固定管理费、认购费、申购费、赎回费、浮动管理费以及理财计划运作和清算中产生的其他费用等。</w:t>
      </w:r>
    </w:p>
    <w:p>
      <w:pPr>
        <w:numPr>
          <w:ilvl w:val="0"/>
          <w:numId w:val="2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费用计提方法、标准及支付方式</w:t>
      </w:r>
    </w:p>
    <w:p>
      <w:pPr>
        <w:numPr>
          <w:ilvl w:val="0"/>
          <w:numId w:val="30"/>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eastAsia="zh-CN"/>
          <w14:textFill>
            <w14:solidFill>
              <w14:schemeClr w14:val="tx1"/>
            </w14:solidFill>
          </w14:textFill>
        </w:rPr>
        <w:t>销售服务费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以</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A份额</w:t>
      </w:r>
      <w:r>
        <w:rPr>
          <w:rFonts w:hint="eastAsia" w:ascii="宋体" w:hAnsi="宋体" w:cs="宋体"/>
          <w:bCs/>
          <w:color w:val="000000" w:themeColor="text1"/>
          <w:sz w:val="24"/>
          <w:highlight w:val="none"/>
          <w14:textFill>
            <w14:solidFill>
              <w14:schemeClr w14:val="tx1"/>
            </w14:solidFill>
          </w14:textFill>
        </w:rPr>
        <w:t>〗为例</w:t>
      </w:r>
      <w:r>
        <w:rPr>
          <w:rFonts w:hint="eastAsia" w:ascii="宋体" w:hAnsi="宋体" w:cs="宋体"/>
          <w:bCs/>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理财计划财产的年化</w:t>
      </w:r>
      <w:r>
        <w:rPr>
          <w:rFonts w:hint="eastAsia" w:ascii="宋体" w:hAnsi="宋体" w:cs="宋体"/>
          <w:bCs/>
          <w:color w:val="000000" w:themeColor="text1"/>
          <w:sz w:val="24"/>
          <w:highlight w:val="none"/>
          <w:lang w:eastAsia="zh-CN"/>
          <w14:textFill>
            <w14:solidFill>
              <w14:schemeClr w14:val="tx1"/>
            </w14:solidFill>
          </w14:textFill>
        </w:rPr>
        <w:t>销售服务费</w:t>
      </w:r>
      <w:r>
        <w:rPr>
          <w:rFonts w:hint="eastAsia" w:ascii="宋体" w:hAnsi="宋体" w:cs="宋体"/>
          <w:bCs/>
          <w:color w:val="000000" w:themeColor="text1"/>
          <w:sz w:val="24"/>
          <w:highlight w:val="none"/>
          <w14:textFill>
            <w14:solidFill>
              <w14:schemeClr w14:val="tx1"/>
            </w14:solidFill>
          </w14:textFill>
        </w:rPr>
        <w:t>率为</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0.30</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，计算方法如下：</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H＝E×</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0.30%</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365</w:t>
      </w:r>
    </w:p>
    <w:p>
      <w:pPr>
        <w:spacing w:line="360" w:lineRule="auto"/>
        <w:ind w:firstLine="480" w:firstLineChars="200"/>
        <w:jc w:val="left"/>
        <w:rPr>
          <w:rFonts w:hint="eastAsia"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H为每日应计提的</w:t>
      </w:r>
      <w:r>
        <w:rPr>
          <w:rFonts w:hint="eastAsia" w:ascii="宋体" w:hAnsi="宋体" w:cs="宋体"/>
          <w:bCs/>
          <w:color w:val="000000" w:themeColor="text1"/>
          <w:sz w:val="24"/>
          <w:highlight w:val="none"/>
          <w:lang w:eastAsia="zh-CN"/>
          <w14:textFill>
            <w14:solidFill>
              <w14:schemeClr w14:val="tx1"/>
            </w14:solidFill>
          </w14:textFill>
        </w:rPr>
        <w:t>销售服务费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E为本理财计划</w:t>
      </w:r>
      <w:r>
        <w:rPr>
          <w:rFonts w:hint="eastAsia" w:ascii="宋体" w:hAnsi="宋体" w:cs="宋体"/>
          <w:bCs/>
          <w:color w:val="000000" w:themeColor="text1"/>
          <w:sz w:val="24"/>
          <w:highlight w:val="none"/>
          <w:lang w:val="en-US" w:eastAsia="zh-CN"/>
          <w14:textFill>
            <w14:solidFill>
              <w14:schemeClr w14:val="tx1"/>
            </w14:solidFill>
          </w14:textFill>
        </w:rPr>
        <w:t>份额</w:t>
      </w:r>
      <w:r>
        <w:rPr>
          <w:rFonts w:hint="eastAsia" w:ascii="宋体" w:hAnsi="宋体" w:cs="宋体"/>
          <w:bCs/>
          <w:color w:val="000000" w:themeColor="text1"/>
          <w:sz w:val="24"/>
          <w:highlight w:val="none"/>
          <w14:textFill>
            <w14:solidFill>
              <w14:schemeClr w14:val="tx1"/>
            </w14:solidFill>
          </w14:textFill>
        </w:rPr>
        <w:t>前一日资产净值</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销售服务费</w:t>
      </w:r>
      <w:r>
        <w:rPr>
          <w:rFonts w:hint="eastAsia" w:ascii="宋体" w:hAnsi="宋体" w:cs="宋体"/>
          <w:bCs/>
          <w:color w:val="000000" w:themeColor="text1"/>
          <w:sz w:val="24"/>
          <w:highlight w:val="none"/>
          <w14:textFill>
            <w14:solidFill>
              <w14:schemeClr w14:val="tx1"/>
            </w14:solidFill>
          </w14:textFill>
        </w:rPr>
        <w:t>原则上按日计提。</w:t>
      </w:r>
    </w:p>
    <w:p>
      <w:pPr>
        <w:numPr>
          <w:ilvl w:val="0"/>
          <w:numId w:val="30"/>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托管费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理财计划财产的年化托管费为</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0.025</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，计算方法如下：</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H＝E×</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0.025</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365</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H为每日应计提的托管费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E为本理财计划前一日资产净值</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托管费原则上按日计提。</w:t>
      </w:r>
    </w:p>
    <w:p>
      <w:pPr>
        <w:numPr>
          <w:ilvl w:val="0"/>
          <w:numId w:val="30"/>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固定管理费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以</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A份额</w:t>
      </w:r>
      <w:r>
        <w:rPr>
          <w:rFonts w:hint="eastAsia" w:ascii="宋体" w:hAnsi="宋体" w:cs="宋体"/>
          <w:bCs/>
          <w:color w:val="000000" w:themeColor="text1"/>
          <w:sz w:val="24"/>
          <w:highlight w:val="none"/>
          <w14:textFill>
            <w14:solidFill>
              <w14:schemeClr w14:val="tx1"/>
            </w14:solidFill>
          </w14:textFill>
        </w:rPr>
        <w:t>〗为例</w:t>
      </w:r>
      <w:r>
        <w:rPr>
          <w:rFonts w:hint="eastAsia" w:ascii="宋体" w:hAnsi="宋体" w:cs="宋体"/>
          <w:bCs/>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理财计划财产的年化固定管理费率为</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0.20</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，计算方法如下：</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H＝E×</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0.20</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365</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H为每日应计提的</w:t>
      </w:r>
      <w:r>
        <w:rPr>
          <w:rFonts w:hint="eastAsia" w:ascii="宋体" w:hAnsi="宋体" w:cs="宋体"/>
          <w:bCs/>
          <w:color w:val="000000" w:themeColor="text1"/>
          <w:sz w:val="24"/>
          <w:highlight w:val="none"/>
          <w:lang w:eastAsia="zh-CN"/>
          <w14:textFill>
            <w14:solidFill>
              <w14:schemeClr w14:val="tx1"/>
            </w14:solidFill>
          </w14:textFill>
        </w:rPr>
        <w:t>固定</w:t>
      </w:r>
      <w:r>
        <w:rPr>
          <w:rFonts w:hint="eastAsia" w:ascii="宋体" w:hAnsi="宋体" w:cs="宋体"/>
          <w:bCs/>
          <w:color w:val="000000" w:themeColor="text1"/>
          <w:sz w:val="24"/>
          <w:highlight w:val="none"/>
          <w14:textFill>
            <w14:solidFill>
              <w14:schemeClr w14:val="tx1"/>
            </w14:solidFill>
          </w14:textFill>
        </w:rPr>
        <w:t>管理费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E为本理财计划</w:t>
      </w:r>
      <w:r>
        <w:rPr>
          <w:rFonts w:hint="eastAsia" w:ascii="宋体" w:hAnsi="宋体" w:cs="宋体"/>
          <w:bCs/>
          <w:color w:val="000000" w:themeColor="text1"/>
          <w:sz w:val="24"/>
          <w:highlight w:val="none"/>
          <w:lang w:val="en-US" w:eastAsia="zh-CN"/>
          <w14:textFill>
            <w14:solidFill>
              <w14:schemeClr w14:val="tx1"/>
            </w14:solidFill>
          </w14:textFill>
        </w:rPr>
        <w:t>份额</w:t>
      </w:r>
      <w:r>
        <w:rPr>
          <w:rFonts w:hint="eastAsia" w:ascii="宋体" w:hAnsi="宋体" w:cs="宋体"/>
          <w:bCs/>
          <w:color w:val="000000" w:themeColor="text1"/>
          <w:sz w:val="24"/>
          <w:highlight w:val="none"/>
          <w14:textFill>
            <w14:solidFill>
              <w14:schemeClr w14:val="tx1"/>
            </w14:solidFill>
          </w14:textFill>
        </w:rPr>
        <w:t>前一日资产净值</w:t>
      </w:r>
    </w:p>
    <w:p>
      <w:pPr>
        <w:spacing w:line="360" w:lineRule="auto"/>
        <w:ind w:firstLine="480" w:firstLineChars="200"/>
        <w:jc w:val="left"/>
        <w:rPr>
          <w:rFonts w:hint="eastAsia"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固定管理费原则上按日计提</w:t>
      </w:r>
      <w:r>
        <w:rPr>
          <w:rFonts w:hint="eastAsia" w:ascii="宋体" w:hAnsi="宋体" w:cs="宋体"/>
          <w:bCs/>
          <w:color w:val="000000" w:themeColor="text1"/>
          <w:sz w:val="24"/>
          <w:highlight w:val="none"/>
          <w:lang w:eastAsia="zh-CN"/>
          <w14:textFill>
            <w14:solidFill>
              <w14:schemeClr w14:val="tx1"/>
            </w14:solidFill>
          </w14:textFill>
        </w:rPr>
        <w:t>，管理人有权</w:t>
      </w:r>
      <w:r>
        <w:rPr>
          <w:rFonts w:hint="eastAsia" w:ascii="宋体" w:hAnsi="宋体" w:cs="宋体"/>
          <w:bCs/>
          <w:color w:val="000000" w:themeColor="text1"/>
          <w:sz w:val="24"/>
          <w:highlight w:val="none"/>
          <w:lang w:val="en-US" w:eastAsia="zh-CN"/>
          <w14:textFill>
            <w14:solidFill>
              <w14:schemeClr w14:val="tx1"/>
            </w14:solidFill>
          </w14:textFill>
        </w:rPr>
        <w:t>根据实际运作情况</w:t>
      </w:r>
      <w:r>
        <w:rPr>
          <w:rFonts w:hint="eastAsia" w:ascii="宋体" w:hAnsi="宋体" w:cs="宋体"/>
          <w:bCs/>
          <w:color w:val="000000" w:themeColor="text1"/>
          <w:sz w:val="24"/>
          <w:highlight w:val="none"/>
          <w:lang w:eastAsia="zh-CN"/>
          <w14:textFill>
            <w14:solidFill>
              <w14:schemeClr w14:val="tx1"/>
            </w14:solidFill>
          </w14:textFill>
        </w:rPr>
        <w:t>减免固定管理费。</w:t>
      </w:r>
    </w:p>
    <w:p>
      <w:pPr>
        <w:numPr>
          <w:ilvl w:val="0"/>
          <w:numId w:val="30"/>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认购费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本理财计划免除认购费。</w:t>
      </w:r>
    </w:p>
    <w:p>
      <w:pPr>
        <w:numPr>
          <w:ilvl w:val="0"/>
          <w:numId w:val="31"/>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申购费</w:t>
      </w:r>
    </w:p>
    <w:p>
      <w:pPr>
        <w:spacing w:line="360" w:lineRule="auto"/>
        <w:ind w:firstLine="480" w:firstLineChars="200"/>
        <w:jc w:val="left"/>
        <w:rPr>
          <w:rFonts w:hint="eastAsia" w:ascii="宋体" w:hAnsi="宋体" w:eastAsia="宋体" w:cs="宋体"/>
          <w:b/>
          <w:color w:val="000000" w:themeColor="text1"/>
          <w:sz w:val="24"/>
          <w:highlight w:val="none"/>
          <w:lang w:eastAsia="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本理财计划免除申购费。</w:t>
      </w:r>
    </w:p>
    <w:p>
      <w:pPr>
        <w:numPr>
          <w:ilvl w:val="0"/>
          <w:numId w:val="31"/>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赎回费</w:t>
      </w:r>
    </w:p>
    <w:p>
      <w:pPr>
        <w:spacing w:line="360" w:lineRule="auto"/>
        <w:ind w:firstLine="480"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本理财计划免除赎回费。</w:t>
      </w:r>
    </w:p>
    <w:p>
      <w:pPr>
        <w:numPr>
          <w:ilvl w:val="0"/>
          <w:numId w:val="32"/>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浮动管理费</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bookmarkStart w:id="0" w:name="OLE_LINK13"/>
      <w:r>
        <w:rPr>
          <w:rFonts w:hint="eastAsia" w:ascii="宋体" w:hAnsi="宋体" w:cs="宋体"/>
          <w:bCs/>
          <w:color w:val="000000" w:themeColor="text1"/>
          <w:sz w:val="24"/>
          <w:highlight w:val="none"/>
          <w14:textFill>
            <w14:solidFill>
              <w14:schemeClr w14:val="tx1"/>
            </w14:solidFill>
          </w14:textFill>
        </w:rPr>
        <w:t>本理财计划免除浮动管理费。</w:t>
      </w:r>
      <w:bookmarkEnd w:id="0"/>
      <w:bookmarkStart w:id="1" w:name="OLE_LINK11"/>
      <w:bookmarkStart w:id="2" w:name="OLE_LINK2"/>
    </w:p>
    <w:bookmarkEnd w:id="1"/>
    <w:bookmarkEnd w:id="2"/>
    <w:p>
      <w:pPr>
        <w:numPr>
          <w:ilvl w:val="0"/>
          <w:numId w:val="33"/>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其他费用</w:t>
      </w:r>
    </w:p>
    <w:p>
      <w:p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除上述费用外，由受托管理资产承担的费用包括但不限于：</w:t>
      </w:r>
    </w:p>
    <w:p>
      <w:pPr>
        <w:numPr>
          <w:ilvl w:val="0"/>
          <w:numId w:val="3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财产管理、运用或处分过程中发生的税费。</w:t>
      </w:r>
    </w:p>
    <w:p>
      <w:pPr>
        <w:numPr>
          <w:ilvl w:val="0"/>
          <w:numId w:val="3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代理机构手续费、管理费、财务顾问费、保管费。</w:t>
      </w:r>
    </w:p>
    <w:p>
      <w:pPr>
        <w:numPr>
          <w:ilvl w:val="0"/>
          <w:numId w:val="3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审计费、律师费、公证费等费用。</w:t>
      </w:r>
    </w:p>
    <w:p>
      <w:pPr>
        <w:numPr>
          <w:ilvl w:val="0"/>
          <w:numId w:val="3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管理人自行或委托第三方向本理财计划所投资产所涉及相关主体进行追偿所发生的费用（包括但不限于诉讼费、仲裁费、律师费、保全费等全部费用）。</w:t>
      </w:r>
    </w:p>
    <w:p>
      <w:pPr>
        <w:numPr>
          <w:ilvl w:val="0"/>
          <w:numId w:val="3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理财计划的交易费用（包括但不限于交易佣金、相关账户费用等）及投资其他资管产品的费用。</w:t>
      </w:r>
    </w:p>
    <w:p>
      <w:pPr>
        <w:numPr>
          <w:ilvl w:val="0"/>
          <w:numId w:val="3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监管规定的其他费用。</w:t>
      </w:r>
    </w:p>
    <w:p>
      <w:pPr>
        <w:spacing w:line="360" w:lineRule="auto"/>
        <w:ind w:firstLine="482"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3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税收说明</w:t>
      </w:r>
    </w:p>
    <w:p>
      <w:pPr>
        <w:numPr>
          <w:ilvl w:val="0"/>
          <w:numId w:val="36"/>
        </w:numPr>
        <w:spacing w:line="360" w:lineRule="auto"/>
        <w:ind w:firstLine="480" w:firstLineChars="200"/>
        <w:jc w:val="left"/>
        <w:rPr>
          <w:color w:val="000000" w:themeColor="text1"/>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6"/>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除法律法规特别要求外，投资者应缴纳的税收由投资者自行缴纳，理财计划管理人不承担代扣代缴或纳税的义务。</w:t>
      </w:r>
    </w:p>
    <w:p>
      <w:pPr>
        <w:numPr>
          <w:ilvl w:val="0"/>
          <w:numId w:val="36"/>
        </w:numPr>
        <w:spacing w:line="360" w:lineRule="auto"/>
        <w:ind w:firstLine="480"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color w:val="000000" w:themeColor="text1"/>
          <w:sz w:val="24"/>
          <w:highlight w:val="none"/>
          <w14:textFill>
            <w14:solidFill>
              <w14:schemeClr w14:val="tx1"/>
            </w14:solidFill>
          </w14:textFill>
        </w:rPr>
      </w:pPr>
    </w:p>
    <w:p>
      <w:pPr>
        <w:numPr>
          <w:ilvl w:val="0"/>
          <w:numId w:val="22"/>
        </w:numPr>
        <w:spacing w:line="360" w:lineRule="auto"/>
        <w:ind w:firstLine="482" w:firstLineChars="200"/>
        <w:jc w:val="left"/>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收益计算</w:t>
      </w:r>
    </w:p>
    <w:p>
      <w:pPr>
        <w:numPr>
          <w:ilvl w:val="0"/>
          <w:numId w:val="37"/>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计算公式</w:t>
      </w:r>
    </w:p>
    <w:p>
      <w:pPr>
        <w:spacing w:line="360" w:lineRule="auto"/>
        <w:ind w:firstLine="480" w:firstLineChars="200"/>
        <w:jc w:val="left"/>
        <w:rPr>
          <w:rFonts w:hint="default" w:ascii="宋体" w:hAnsi="宋体" w:eastAsia="宋体" w:cs="宋体"/>
          <w:bCs/>
          <w:color w:val="000000" w:themeColor="text1"/>
          <w:sz w:val="24"/>
          <w:highlight w:val="none"/>
          <w:lang w:val="en-US" w:eastAsia="zh-CN"/>
          <w14:textFill>
            <w14:solidFill>
              <w14:schemeClr w14:val="tx1"/>
            </w14:solidFill>
          </w14:textFill>
        </w:rPr>
      </w:pPr>
      <w:bookmarkStart w:id="3" w:name="OLE_LINK1"/>
      <w:r>
        <w:rPr>
          <w:rFonts w:hint="eastAsia" w:ascii="宋体" w:hAnsi="宋体" w:cs="宋体"/>
          <w:bCs/>
          <w:color w:val="000000" w:themeColor="text1"/>
          <w:sz w:val="24"/>
          <w:highlight w:val="none"/>
          <w14:textFill>
            <w14:solidFill>
              <w14:schemeClr w14:val="tx1"/>
            </w14:solidFill>
          </w14:textFill>
        </w:rPr>
        <w:t>投资者理财收益＝赎回份额×赎回确认日（提前终止日）</w:t>
      </w:r>
      <w:r>
        <w:rPr>
          <w:rFonts w:hint="eastAsia" w:ascii="宋体" w:hAnsi="宋体" w:cs="宋体"/>
          <w:bCs/>
          <w:color w:val="000000" w:themeColor="text1"/>
          <w:sz w:val="24"/>
          <w:highlight w:val="none"/>
          <w:lang w:val="en-US" w:eastAsia="zh-CN"/>
          <w14:textFill>
            <w14:solidFill>
              <w14:schemeClr w14:val="tx1"/>
            </w14:solidFill>
          </w14:textFill>
        </w:rPr>
        <w:t>前一日</w:t>
      </w:r>
      <w:r>
        <w:rPr>
          <w:rFonts w:hint="eastAsia" w:ascii="宋体" w:hAnsi="宋体" w:cs="宋体"/>
          <w:bCs/>
          <w:color w:val="000000" w:themeColor="text1"/>
          <w:sz w:val="24"/>
          <w:highlight w:val="none"/>
          <w14:textFill>
            <w14:solidFill>
              <w14:schemeClr w14:val="tx1"/>
            </w14:solidFill>
          </w14:textFill>
        </w:rPr>
        <w:t>单位净值-认购或申购金额+份额持有期间累计分红（如有）</w:t>
      </w:r>
      <w:r>
        <w:rPr>
          <w:rFonts w:hint="eastAsia" w:ascii="宋体" w:hAnsi="宋体" w:cs="宋体"/>
          <w:bCs/>
          <w:color w:val="000000" w:themeColor="text1"/>
          <w:sz w:val="24"/>
          <w:highlight w:val="none"/>
          <w:lang w:val="en-US" w:eastAsia="zh-CN"/>
          <w14:textFill>
            <w14:solidFill>
              <w14:schemeClr w14:val="tx1"/>
            </w14:solidFill>
          </w14:textFill>
        </w:rPr>
        <w:t>-浮动管理费（如有）</w:t>
      </w:r>
    </w:p>
    <w:bookmarkEnd w:id="3"/>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份额=认购或申购金额</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认购或申购确认日</w:t>
      </w:r>
      <w:r>
        <w:rPr>
          <w:rFonts w:hint="eastAsia" w:ascii="宋体" w:hAnsi="宋体" w:cs="宋体"/>
          <w:bCs/>
          <w:color w:val="000000" w:themeColor="text1"/>
          <w:sz w:val="24"/>
          <w:highlight w:val="none"/>
          <w:lang w:val="en-US" w:eastAsia="zh-CN"/>
          <w14:textFill>
            <w14:solidFill>
              <w14:schemeClr w14:val="tx1"/>
            </w14:solidFill>
          </w14:textFill>
        </w:rPr>
        <w:t>前一日</w:t>
      </w:r>
      <w:r>
        <w:rPr>
          <w:rFonts w:hint="eastAsia" w:ascii="宋体" w:hAnsi="宋体" w:cs="宋体"/>
          <w:bCs/>
          <w:color w:val="000000" w:themeColor="text1"/>
          <w:sz w:val="24"/>
          <w:highlight w:val="none"/>
          <w14:textFill>
            <w14:solidFill>
              <w14:schemeClr w14:val="tx1"/>
            </w14:solidFill>
          </w14:textFill>
        </w:rPr>
        <w:t>单位净值。</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赎回确认日（提前终止日）</w:t>
      </w:r>
      <w:r>
        <w:rPr>
          <w:rFonts w:hint="eastAsia" w:ascii="宋体" w:hAnsi="宋体" w:cs="宋体"/>
          <w:bCs/>
          <w:color w:val="000000" w:themeColor="text1"/>
          <w:sz w:val="24"/>
          <w:highlight w:val="none"/>
          <w:lang w:val="en-US" w:eastAsia="zh-CN"/>
          <w14:textFill>
            <w14:solidFill>
              <w14:schemeClr w14:val="tx1"/>
            </w14:solidFill>
          </w14:textFill>
        </w:rPr>
        <w:t>前一日的</w:t>
      </w:r>
      <w:r>
        <w:rPr>
          <w:rFonts w:hint="eastAsia" w:ascii="宋体" w:hAnsi="宋体" w:cs="宋体"/>
          <w:bCs/>
          <w:color w:val="000000" w:themeColor="text1"/>
          <w:sz w:val="24"/>
          <w:highlight w:val="none"/>
          <w14:textFill>
            <w14:solidFill>
              <w14:schemeClr w14:val="tx1"/>
            </w14:solidFill>
          </w14:textFill>
        </w:rPr>
        <w:t>单位净值为提取相关费用及税费后的单位理财计划份额净值。</w:t>
      </w:r>
    </w:p>
    <w:p>
      <w:pPr>
        <w:numPr>
          <w:ilvl w:val="0"/>
          <w:numId w:val="37"/>
        </w:numPr>
        <w:spacing w:line="360" w:lineRule="auto"/>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示例说明</w:t>
      </w:r>
    </w:p>
    <w:p>
      <w:pPr>
        <w:numPr>
          <w:ilvl w:val="0"/>
          <w:numId w:val="0"/>
        </w:numPr>
        <w:spacing w:line="360" w:lineRule="auto"/>
        <w:ind w:left="420" w:leftChars="0"/>
        <w:jc w:val="left"/>
        <w:outlineLvl w:val="2"/>
        <w:rPr>
          <w:rFonts w:hint="eastAsia" w:ascii="宋体" w:hAnsi="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lang w:val="en-US" w:eastAsia="zh-CN"/>
          <w14:textFill>
            <w14:solidFill>
              <w14:schemeClr w14:val="tx1"/>
            </w14:solidFill>
          </w14:textFill>
        </w:rPr>
        <w:t>以下示例均为假设情况，不构成业绩预测，不代表本理财计划实际投资业绩。</w:t>
      </w:r>
    </w:p>
    <w:p>
      <w:pPr>
        <w:numPr>
          <w:ilvl w:val="0"/>
          <w:numId w:val="38"/>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示例</w:t>
      </w:r>
      <w:r>
        <w:rPr>
          <w:rFonts w:hint="eastAsia" w:ascii="宋体" w:hAnsi="宋体" w:cs="宋体"/>
          <w:b/>
          <w:color w:val="000000" w:themeColor="text1"/>
          <w:sz w:val="24"/>
          <w:highlight w:val="none"/>
          <w:lang w:eastAsia="zh-CN"/>
          <w14:textFill>
            <w14:solidFill>
              <w14:schemeClr w14:val="tx1"/>
            </w14:solidFill>
          </w14:textFill>
        </w:rPr>
        <w:t>一</w:t>
      </w:r>
    </w:p>
    <w:p>
      <w:pPr>
        <w:spacing w:line="360" w:lineRule="auto"/>
        <w:ind w:firstLine="482"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扣除托管费、固定管理费、</w:t>
      </w:r>
      <w:r>
        <w:rPr>
          <w:rFonts w:hint="eastAsia" w:ascii="宋体" w:hAnsi="宋体" w:cs="宋体"/>
          <w:b/>
          <w:color w:val="000000" w:themeColor="text1"/>
          <w:sz w:val="24"/>
          <w:highlight w:val="none"/>
          <w:lang w:eastAsia="zh-CN"/>
          <w14:textFill>
            <w14:solidFill>
              <w14:schemeClr w14:val="tx1"/>
            </w14:solidFill>
          </w14:textFill>
        </w:rPr>
        <w:t>销售服务费</w:t>
      </w:r>
      <w:r>
        <w:rPr>
          <w:rFonts w:hint="eastAsia" w:ascii="宋体" w:hAnsi="宋体" w:cs="宋体"/>
          <w:b/>
          <w:color w:val="000000" w:themeColor="text1"/>
          <w:sz w:val="24"/>
          <w:highlight w:val="none"/>
          <w14:textFill>
            <w14:solidFill>
              <w14:schemeClr w14:val="tx1"/>
            </w14:solidFill>
          </w14:textFill>
        </w:rPr>
        <w:t>（如有）后，投资</w:t>
      </w:r>
      <w:r>
        <w:rPr>
          <w:rFonts w:hint="eastAsia" w:ascii="宋体" w:hAnsi="宋体" w:cs="宋体"/>
          <w:b/>
          <w:color w:val="000000" w:themeColor="text1"/>
          <w:sz w:val="24"/>
          <w:highlight w:val="none"/>
          <w:lang w:val="en-US" w:eastAsia="zh-CN"/>
          <w14:textFill>
            <w14:solidFill>
              <w14:schemeClr w14:val="tx1"/>
            </w14:solidFill>
          </w14:textFill>
        </w:rPr>
        <w:t>产生盈利</w:t>
      </w:r>
      <w:r>
        <w:rPr>
          <w:rFonts w:hint="eastAsia" w:ascii="宋体" w:hAnsi="宋体" w:cs="宋体"/>
          <w:b/>
          <w:color w:val="000000" w:themeColor="text1"/>
          <w:sz w:val="24"/>
          <w:highlight w:val="none"/>
          <w14:textFill>
            <w14:solidFill>
              <w14:schemeClr w14:val="tx1"/>
            </w14:solidFill>
          </w14:textFill>
        </w:rPr>
        <w:t>。</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以某投资者投资10万元为例，假设购买时理财计划净值为1.</w:t>
      </w:r>
      <w:r>
        <w:rPr>
          <w:rFonts w:hint="eastAsia" w:ascii="宋体" w:hAnsi="宋体" w:cs="宋体"/>
          <w:bCs/>
          <w:color w:val="000000" w:themeColor="text1"/>
          <w:sz w:val="24"/>
          <w:highlight w:val="none"/>
          <w:lang w:val="en-US" w:eastAsia="zh-CN"/>
          <w14:textFill>
            <w14:solidFill>
              <w14:schemeClr w14:val="tx1"/>
            </w14:solidFill>
          </w14:textFill>
        </w:rPr>
        <w:t>0000</w:t>
      </w:r>
      <w:r>
        <w:rPr>
          <w:rFonts w:hint="eastAsia" w:ascii="宋体" w:hAnsi="宋体" w:cs="宋体"/>
          <w:bCs/>
          <w:color w:val="000000" w:themeColor="text1"/>
          <w:sz w:val="24"/>
          <w:highlight w:val="none"/>
          <w14:textFill>
            <w14:solidFill>
              <w14:schemeClr w14:val="tx1"/>
            </w14:solidFill>
          </w14:textFill>
        </w:rPr>
        <w:t>00元，折算份额为100,000.00份，假设投资理财计划362天。到期时扣除托管费、固定管理费、</w:t>
      </w:r>
      <w:r>
        <w:rPr>
          <w:rFonts w:hint="eastAsia" w:ascii="宋体" w:hAnsi="宋体" w:cs="宋体"/>
          <w:bCs/>
          <w:color w:val="000000" w:themeColor="text1"/>
          <w:sz w:val="24"/>
          <w:highlight w:val="none"/>
          <w:lang w:eastAsia="zh-CN"/>
          <w14:textFill>
            <w14:solidFill>
              <w14:schemeClr w14:val="tx1"/>
            </w14:solidFill>
          </w14:textFill>
        </w:rPr>
        <w:t>销售服务费</w:t>
      </w:r>
      <w:r>
        <w:rPr>
          <w:rFonts w:hint="eastAsia" w:ascii="宋体" w:hAnsi="宋体" w:cs="宋体"/>
          <w:bCs/>
          <w:color w:val="000000" w:themeColor="text1"/>
          <w:sz w:val="24"/>
          <w:highlight w:val="none"/>
          <w14:textFill>
            <w14:solidFill>
              <w14:schemeClr w14:val="tx1"/>
            </w14:solidFill>
          </w14:textFill>
        </w:rPr>
        <w:t>（如有）后，如理财计划净值为1.0426</w:t>
      </w:r>
      <w:r>
        <w:rPr>
          <w:rFonts w:hint="eastAsia" w:ascii="宋体" w:hAnsi="宋体" w:cs="宋体"/>
          <w:bCs/>
          <w:color w:val="000000" w:themeColor="text1"/>
          <w:sz w:val="24"/>
          <w:highlight w:val="none"/>
          <w:lang w:val="en-US" w:eastAsia="zh-CN"/>
          <w14:textFill>
            <w14:solidFill>
              <w14:schemeClr w14:val="tx1"/>
            </w14:solidFill>
          </w14:textFill>
        </w:rPr>
        <w:t>00</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期间无分红，</w:t>
      </w:r>
      <w:r>
        <w:rPr>
          <w:rFonts w:hint="eastAsia" w:ascii="宋体" w:hAnsi="宋体" w:cs="宋体"/>
          <w:bCs/>
          <w:color w:val="000000" w:themeColor="text1"/>
          <w:sz w:val="24"/>
          <w:highlight w:val="none"/>
          <w14:textFill>
            <w14:solidFill>
              <w14:schemeClr w14:val="tx1"/>
            </w14:solidFill>
          </w14:textFill>
        </w:rPr>
        <w:t>此时，(1.0426</w:t>
      </w:r>
      <w:r>
        <w:rPr>
          <w:rFonts w:hint="eastAsia" w:ascii="宋体" w:hAnsi="宋体" w:cs="宋体"/>
          <w:bCs/>
          <w:color w:val="000000" w:themeColor="text1"/>
          <w:sz w:val="24"/>
          <w:highlight w:val="none"/>
          <w:lang w:val="en-US" w:eastAsia="zh-CN"/>
          <w14:textFill>
            <w14:solidFill>
              <w14:schemeClr w14:val="tx1"/>
            </w14:solidFill>
          </w14:textFill>
        </w:rPr>
        <w:t>00</w:t>
      </w:r>
      <w:r>
        <w:rPr>
          <w:rFonts w:hint="eastAsia" w:ascii="宋体" w:hAnsi="宋体" w:cs="宋体"/>
          <w:bCs/>
          <w:color w:val="000000" w:themeColor="text1"/>
          <w:sz w:val="24"/>
          <w:highlight w:val="none"/>
          <w14:textFill>
            <w14:solidFill>
              <w14:schemeClr w14:val="tx1"/>
            </w14:solidFill>
          </w14:textFill>
        </w:rPr>
        <w:t>÷1.00</w:t>
      </w:r>
      <w:r>
        <w:rPr>
          <w:rFonts w:hint="eastAsia" w:ascii="宋体" w:hAnsi="宋体" w:cs="宋体"/>
          <w:bCs/>
          <w:color w:val="000000" w:themeColor="text1"/>
          <w:sz w:val="24"/>
          <w:highlight w:val="none"/>
          <w:lang w:val="en-US" w:eastAsia="zh-CN"/>
          <w14:textFill>
            <w14:solidFill>
              <w14:schemeClr w14:val="tx1"/>
            </w14:solidFill>
          </w14:textFill>
        </w:rPr>
        <w:t>0000</w:t>
      </w:r>
      <w:r>
        <w:rPr>
          <w:rFonts w:hint="eastAsia" w:ascii="宋体" w:hAnsi="宋体" w:cs="宋体"/>
          <w:bCs/>
          <w:color w:val="000000" w:themeColor="text1"/>
          <w:sz w:val="24"/>
          <w:highlight w:val="none"/>
          <w14:textFill>
            <w14:solidFill>
              <w14:schemeClr w14:val="tx1"/>
            </w14:solidFill>
          </w14:textFill>
        </w:rPr>
        <w:t>-1)×365÷362=4.30%，即投资</w:t>
      </w:r>
      <w:r>
        <w:rPr>
          <w:rFonts w:hint="eastAsia" w:ascii="宋体" w:hAnsi="宋体" w:cs="宋体"/>
          <w:bCs/>
          <w:color w:val="000000" w:themeColor="text1"/>
          <w:sz w:val="24"/>
          <w:highlight w:val="none"/>
          <w:lang w:val="en-US" w:eastAsia="zh-CN"/>
          <w14:textFill>
            <w14:solidFill>
              <w14:schemeClr w14:val="tx1"/>
            </w14:solidFill>
          </w14:textFill>
        </w:rPr>
        <w:t>收益达到年化4.30%</w:t>
      </w:r>
      <w:r>
        <w:rPr>
          <w:rFonts w:hint="eastAsia" w:ascii="宋体" w:hAnsi="宋体" w:cs="宋体"/>
          <w:bCs/>
          <w:color w:val="000000" w:themeColor="text1"/>
          <w:sz w:val="24"/>
          <w:highlight w:val="none"/>
          <w14:textFill>
            <w14:solidFill>
              <w14:schemeClr w14:val="tx1"/>
            </w14:solidFill>
          </w14:textFill>
        </w:rPr>
        <w:t>，投资者最终收益为：100,000.00×(1.0426</w:t>
      </w:r>
      <w:r>
        <w:rPr>
          <w:rFonts w:hint="eastAsia" w:ascii="宋体" w:hAnsi="宋体" w:cs="宋体"/>
          <w:bCs/>
          <w:color w:val="000000" w:themeColor="text1"/>
          <w:sz w:val="24"/>
          <w:highlight w:val="none"/>
          <w:lang w:val="en-US" w:eastAsia="zh-CN"/>
          <w14:textFill>
            <w14:solidFill>
              <w14:schemeClr w14:val="tx1"/>
            </w14:solidFill>
          </w14:textFill>
        </w:rPr>
        <w:t>00</w:t>
      </w:r>
      <w:r>
        <w:rPr>
          <w:rFonts w:hint="eastAsia" w:ascii="宋体" w:hAnsi="宋体" w:cs="宋体"/>
          <w:bCs/>
          <w:color w:val="000000" w:themeColor="text1"/>
          <w:sz w:val="24"/>
          <w:highlight w:val="none"/>
          <w14:textFill>
            <w14:solidFill>
              <w14:schemeClr w14:val="tx1"/>
            </w14:solidFill>
          </w14:textFill>
        </w:rPr>
        <w:t>-1.00</w:t>
      </w:r>
      <w:r>
        <w:rPr>
          <w:rFonts w:hint="eastAsia" w:ascii="宋体" w:hAnsi="宋体" w:cs="宋体"/>
          <w:bCs/>
          <w:color w:val="000000" w:themeColor="text1"/>
          <w:sz w:val="24"/>
          <w:highlight w:val="none"/>
          <w:lang w:val="en-US" w:eastAsia="zh-CN"/>
          <w14:textFill>
            <w14:solidFill>
              <w14:schemeClr w14:val="tx1"/>
            </w14:solidFill>
          </w14:textFill>
        </w:rPr>
        <w:t>0000</w:t>
      </w:r>
      <w:r>
        <w:rPr>
          <w:rFonts w:hint="eastAsia" w:ascii="宋体" w:hAnsi="宋体" w:cs="宋体"/>
          <w:bCs/>
          <w:color w:val="000000" w:themeColor="text1"/>
          <w:sz w:val="24"/>
          <w:highlight w:val="none"/>
          <w14:textFill>
            <w14:solidFill>
              <w14:schemeClr w14:val="tx1"/>
            </w14:solidFill>
          </w14:textFill>
        </w:rPr>
        <w:t>）=4,260.00（元）</w:t>
      </w:r>
    </w:p>
    <w:p>
      <w:pPr>
        <w:numPr>
          <w:ilvl w:val="0"/>
          <w:numId w:val="38"/>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示例</w:t>
      </w:r>
      <w:r>
        <w:rPr>
          <w:rFonts w:hint="eastAsia" w:ascii="宋体" w:hAnsi="宋体" w:cs="宋体"/>
          <w:b/>
          <w:color w:val="000000" w:themeColor="text1"/>
          <w:sz w:val="24"/>
          <w:highlight w:val="none"/>
          <w:lang w:val="en-US" w:eastAsia="zh-CN"/>
          <w14:textFill>
            <w14:solidFill>
              <w14:schemeClr w14:val="tx1"/>
            </w14:solidFill>
          </w14:textFill>
        </w:rPr>
        <w:t>二</w:t>
      </w:r>
    </w:p>
    <w:p>
      <w:p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扣除托管费、固定管理费、</w:t>
      </w:r>
      <w:r>
        <w:rPr>
          <w:rFonts w:hint="eastAsia" w:ascii="宋体" w:hAnsi="宋体" w:cs="宋体"/>
          <w:b/>
          <w:color w:val="000000" w:themeColor="text1"/>
          <w:sz w:val="24"/>
          <w:highlight w:val="none"/>
          <w:lang w:eastAsia="zh-CN"/>
          <w14:textFill>
            <w14:solidFill>
              <w14:schemeClr w14:val="tx1"/>
            </w14:solidFill>
          </w14:textFill>
        </w:rPr>
        <w:t>销售服务费</w:t>
      </w:r>
      <w:r>
        <w:rPr>
          <w:rFonts w:hint="eastAsia" w:ascii="宋体" w:hAnsi="宋体" w:cs="宋体"/>
          <w:b/>
          <w:color w:val="000000" w:themeColor="text1"/>
          <w:sz w:val="24"/>
          <w:highlight w:val="none"/>
          <w14:textFill>
            <w14:solidFill>
              <w14:schemeClr w14:val="tx1"/>
            </w14:solidFill>
          </w14:textFill>
        </w:rPr>
        <w:t>（如有）后，投资发生亏损。</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以某投资者投资10万元为例，假设购买时理财计划净值为1.</w:t>
      </w:r>
      <w:r>
        <w:rPr>
          <w:rFonts w:hint="eastAsia" w:ascii="宋体" w:hAnsi="宋体" w:cs="宋体"/>
          <w:bCs/>
          <w:color w:val="000000" w:themeColor="text1"/>
          <w:sz w:val="24"/>
          <w:highlight w:val="none"/>
          <w:lang w:val="en-US" w:eastAsia="zh-CN"/>
          <w14:textFill>
            <w14:solidFill>
              <w14:schemeClr w14:val="tx1"/>
            </w14:solidFill>
          </w14:textFill>
        </w:rPr>
        <w:t>0000</w:t>
      </w:r>
      <w:r>
        <w:rPr>
          <w:rFonts w:hint="eastAsia" w:ascii="宋体" w:hAnsi="宋体" w:cs="宋体"/>
          <w:bCs/>
          <w:color w:val="000000" w:themeColor="text1"/>
          <w:sz w:val="24"/>
          <w:highlight w:val="none"/>
          <w14:textFill>
            <w14:solidFill>
              <w14:schemeClr w14:val="tx1"/>
            </w14:solidFill>
          </w14:textFill>
        </w:rPr>
        <w:t>00元，折算份额为100,000.00份，假设投资理财计划362天。到期时扣除托管费、固定管理费、</w:t>
      </w:r>
      <w:r>
        <w:rPr>
          <w:rFonts w:hint="eastAsia" w:ascii="宋体" w:hAnsi="宋体" w:cs="宋体"/>
          <w:bCs/>
          <w:color w:val="000000" w:themeColor="text1"/>
          <w:sz w:val="24"/>
          <w:highlight w:val="none"/>
          <w:lang w:eastAsia="zh-CN"/>
          <w14:textFill>
            <w14:solidFill>
              <w14:schemeClr w14:val="tx1"/>
            </w14:solidFill>
          </w14:textFill>
        </w:rPr>
        <w:t>销售服务费</w:t>
      </w:r>
      <w:r>
        <w:rPr>
          <w:rFonts w:hint="eastAsia" w:ascii="宋体" w:hAnsi="宋体" w:cs="宋体"/>
          <w:bCs/>
          <w:color w:val="000000" w:themeColor="text1"/>
          <w:sz w:val="24"/>
          <w:highlight w:val="none"/>
          <w14:textFill>
            <w14:solidFill>
              <w14:schemeClr w14:val="tx1"/>
            </w14:solidFill>
          </w14:textFill>
        </w:rPr>
        <w:t>（如有）后，如理财计划净值为0.9975</w:t>
      </w:r>
      <w:r>
        <w:rPr>
          <w:rFonts w:hint="eastAsia" w:ascii="宋体" w:hAnsi="宋体" w:cs="宋体"/>
          <w:bCs/>
          <w:color w:val="000000" w:themeColor="text1"/>
          <w:sz w:val="24"/>
          <w:highlight w:val="none"/>
          <w:lang w:val="en-US" w:eastAsia="zh-CN"/>
          <w14:textFill>
            <w14:solidFill>
              <w14:schemeClr w14:val="tx1"/>
            </w14:solidFill>
          </w14:textFill>
        </w:rPr>
        <w:t>00</w:t>
      </w:r>
      <w:r>
        <w:rPr>
          <w:rFonts w:hint="eastAsia" w:ascii="宋体" w:hAnsi="宋体" w:cs="宋体"/>
          <w:bCs/>
          <w:color w:val="000000" w:themeColor="text1"/>
          <w:sz w:val="24"/>
          <w:highlight w:val="none"/>
          <w14:textFill>
            <w14:solidFill>
              <w14:schemeClr w14:val="tx1"/>
            </w14:solidFill>
          </w14:textFill>
        </w:rPr>
        <w:t>，</w:t>
      </w:r>
      <w:r>
        <w:rPr>
          <w:rFonts w:hint="eastAsia" w:ascii="宋体" w:hAnsi="宋体" w:cs="宋体"/>
          <w:bCs/>
          <w:color w:val="000000" w:themeColor="text1"/>
          <w:sz w:val="24"/>
          <w:highlight w:val="none"/>
          <w:lang w:val="en-US" w:eastAsia="zh-CN"/>
          <w14:textFill>
            <w14:solidFill>
              <w14:schemeClr w14:val="tx1"/>
            </w14:solidFill>
          </w14:textFill>
        </w:rPr>
        <w:t>期间无分红，</w:t>
      </w:r>
      <w:r>
        <w:rPr>
          <w:rFonts w:hint="eastAsia" w:ascii="宋体" w:hAnsi="宋体" w:cs="宋体"/>
          <w:bCs/>
          <w:color w:val="000000" w:themeColor="text1"/>
          <w:sz w:val="24"/>
          <w:highlight w:val="none"/>
          <w14:textFill>
            <w14:solidFill>
              <w14:schemeClr w14:val="tx1"/>
            </w14:solidFill>
          </w14:textFill>
        </w:rPr>
        <w:t>投资者最终收益为：100,000.00×（0.9975</w:t>
      </w:r>
      <w:r>
        <w:rPr>
          <w:rFonts w:hint="eastAsia" w:ascii="宋体" w:hAnsi="宋体" w:cs="宋体"/>
          <w:bCs/>
          <w:color w:val="000000" w:themeColor="text1"/>
          <w:sz w:val="24"/>
          <w:highlight w:val="none"/>
          <w:lang w:val="en-US" w:eastAsia="zh-CN"/>
          <w14:textFill>
            <w14:solidFill>
              <w14:schemeClr w14:val="tx1"/>
            </w14:solidFill>
          </w14:textFill>
        </w:rPr>
        <w:t>00</w:t>
      </w:r>
      <w:r>
        <w:rPr>
          <w:rFonts w:hint="eastAsia" w:ascii="宋体" w:hAnsi="宋体" w:cs="宋体"/>
          <w:bCs/>
          <w:color w:val="000000" w:themeColor="text1"/>
          <w:sz w:val="24"/>
          <w:highlight w:val="none"/>
          <w14:textFill>
            <w14:solidFill>
              <w14:schemeClr w14:val="tx1"/>
            </w14:solidFill>
          </w14:textFill>
        </w:rPr>
        <w:t>-1.</w:t>
      </w:r>
      <w:r>
        <w:rPr>
          <w:rFonts w:hint="eastAsia" w:ascii="宋体" w:hAnsi="宋体" w:cs="宋体"/>
          <w:bCs/>
          <w:color w:val="000000" w:themeColor="text1"/>
          <w:sz w:val="24"/>
          <w:highlight w:val="none"/>
          <w:lang w:val="en-US" w:eastAsia="zh-CN"/>
          <w14:textFill>
            <w14:solidFill>
              <w14:schemeClr w14:val="tx1"/>
            </w14:solidFill>
          </w14:textFill>
        </w:rPr>
        <w:t>0000</w:t>
      </w:r>
      <w:r>
        <w:rPr>
          <w:rFonts w:hint="eastAsia" w:ascii="宋体" w:hAnsi="宋体" w:cs="宋体"/>
          <w:bCs/>
          <w:color w:val="000000" w:themeColor="text1"/>
          <w:sz w:val="24"/>
          <w:highlight w:val="none"/>
          <w14:textFill>
            <w14:solidFill>
              <w14:schemeClr w14:val="tx1"/>
            </w14:solidFill>
          </w14:textFill>
        </w:rPr>
        <w:t>00）=-250.00（元）。</w:t>
      </w:r>
    </w:p>
    <w:p>
      <w:pPr>
        <w:numPr>
          <w:ilvl w:val="0"/>
          <w:numId w:val="37"/>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最不利情况分析</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由于市场波动导致投资资产贬值或者投资资产发生信用风险导致相应损失，使理财计划</w:t>
      </w:r>
      <w:r>
        <w:rPr>
          <w:rFonts w:hint="eastAsia" w:ascii="宋体" w:hAnsi="宋体" w:cs="宋体"/>
          <w:bCs/>
          <w:color w:val="000000" w:themeColor="text1"/>
          <w:sz w:val="24"/>
          <w:highlight w:val="none"/>
          <w:lang w:eastAsia="zh-CN"/>
          <w14:textFill>
            <w14:solidFill>
              <w14:schemeClr w14:val="tx1"/>
            </w14:solidFill>
          </w14:textFill>
        </w:rPr>
        <w:t>赎回或</w:t>
      </w:r>
      <w:r>
        <w:rPr>
          <w:rFonts w:hint="eastAsia" w:ascii="宋体" w:hAnsi="宋体" w:cs="宋体"/>
          <w:bCs/>
          <w:color w:val="000000" w:themeColor="text1"/>
          <w:sz w:val="24"/>
          <w:highlight w:val="none"/>
          <w14:textFill>
            <w14:solidFill>
              <w14:schemeClr w14:val="tx1"/>
            </w14:solidFill>
          </w14:textFill>
        </w:rPr>
        <w:t>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p>
    <w:p>
      <w:pPr>
        <w:numPr>
          <w:ilvl w:val="0"/>
          <w:numId w:val="22"/>
        </w:numPr>
        <w:spacing w:line="360" w:lineRule="auto"/>
        <w:ind w:firstLine="482" w:firstLineChars="200"/>
        <w:jc w:val="left"/>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交易规则</w:t>
      </w:r>
    </w:p>
    <w:p>
      <w:pPr>
        <w:numPr>
          <w:ilvl w:val="0"/>
          <w:numId w:val="3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认购</w:t>
      </w:r>
    </w:p>
    <w:p>
      <w:pPr>
        <w:numPr>
          <w:ilvl w:val="0"/>
          <w:numId w:val="40"/>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themeColor="text1"/>
          <w:sz w:val="24"/>
          <w:highlight w:val="none"/>
          <w:lang w:eastAsia="zh-CN"/>
          <w14:textFill>
            <w14:solidFill>
              <w14:schemeClr w14:val="tx1"/>
            </w14:solidFill>
          </w14:textFill>
        </w:rPr>
        <w:t>（具体以销售机构要求为准）</w:t>
      </w:r>
    </w:p>
    <w:p>
      <w:pPr>
        <w:numPr>
          <w:ilvl w:val="0"/>
          <w:numId w:val="40"/>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理财计划认购期内，投资者可以对本理财计划进行认购、追加、撤单，相应投资资金将在投资者指定账户中冻结。</w:t>
      </w:r>
    </w:p>
    <w:p>
      <w:pPr>
        <w:numPr>
          <w:ilvl w:val="0"/>
          <w:numId w:val="40"/>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如新增认</w:t>
      </w:r>
      <w:r>
        <w:rPr>
          <w:rFonts w:hint="eastAsia" w:ascii="宋体" w:hAnsi="宋体" w:cs="宋体"/>
          <w:bCs/>
          <w:color w:val="000000" w:themeColor="text1"/>
          <w:sz w:val="24"/>
          <w:highlight w:val="none"/>
          <w:lang w:val="en-US" w:eastAsia="zh-CN"/>
          <w14:textFill>
            <w14:solidFill>
              <w14:schemeClr w14:val="tx1"/>
            </w14:solidFill>
          </w14:textFill>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成立</w:t>
      </w:r>
    </w:p>
    <w:p>
      <w:pPr>
        <w:numPr>
          <w:ilvl w:val="0"/>
          <w:numId w:val="41"/>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销售机构有权以投资者的投资金额为限从投资者理财账户中进行资金扣划，无需投资者另行授权。</w:t>
      </w:r>
    </w:p>
    <w:p>
      <w:pPr>
        <w:numPr>
          <w:ilvl w:val="0"/>
          <w:numId w:val="41"/>
        </w:numPr>
        <w:spacing w:line="360" w:lineRule="auto"/>
        <w:ind w:firstLine="480"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管理人将在理财计划成立日对认购期的认购及追加申请进行确认和划款。</w:t>
      </w:r>
    </w:p>
    <w:p>
      <w:pPr>
        <w:numPr>
          <w:ilvl w:val="0"/>
          <w:numId w:val="3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申购及赎回</w:t>
      </w:r>
    </w:p>
    <w:p>
      <w:pPr>
        <w:numPr>
          <w:ilvl w:val="0"/>
          <w:numId w:val="42"/>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交易确认及时间</w:t>
      </w:r>
    </w:p>
    <w:p>
      <w:pPr>
        <w:numPr>
          <w:ilvl w:val="0"/>
          <w:numId w:val="43"/>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本理财计划在每个开放期的开放日工作时间可进行申购，申购申请将在申购确认日进行确认，即申购开放期后的第〖1〗个</w:t>
      </w:r>
      <w:r>
        <w:rPr>
          <w:rFonts w:hint="eastAsia" w:ascii="宋体" w:hAnsi="宋体" w:cs="宋体"/>
          <w:bCs/>
          <w:color w:val="000000" w:themeColor="text1"/>
          <w:sz w:val="24"/>
          <w:highlight w:val="none"/>
          <w:lang w:val="en-US" w:eastAsia="zh-CN"/>
          <w14:textFill>
            <w14:solidFill>
              <w14:schemeClr w14:val="tx1"/>
            </w14:solidFill>
          </w14:textFill>
        </w:rPr>
        <w:t>交易日</w:t>
      </w:r>
      <w:r>
        <w:rPr>
          <w:rFonts w:hint="eastAsia" w:ascii="宋体" w:hAnsi="宋体" w:cs="宋体"/>
          <w:bCs/>
          <w:color w:val="000000" w:themeColor="text1"/>
          <w:sz w:val="24"/>
          <w:highlight w:val="none"/>
          <w14:textFill>
            <w14:solidFill>
              <w14:schemeClr w14:val="tx1"/>
            </w14:solidFill>
          </w14:textFill>
        </w:rPr>
        <w:t>进行确认。</w:t>
      </w:r>
    </w:p>
    <w:p>
      <w:pPr>
        <w:numPr>
          <w:ilvl w:val="0"/>
          <w:numId w:val="43"/>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满足最低持有期后，</w:t>
      </w:r>
      <w:r>
        <w:rPr>
          <w:rFonts w:hint="eastAsia" w:ascii="宋体" w:hAnsi="宋体" w:cs="宋体"/>
          <w:bCs/>
          <w:color w:val="000000" w:themeColor="text1"/>
          <w:sz w:val="24"/>
          <w:highlight w:val="none"/>
          <w14:textFill>
            <w14:solidFill>
              <w14:schemeClr w14:val="tx1"/>
            </w14:solidFill>
          </w14:textFill>
        </w:rPr>
        <w:t>本理财计划在每个开放期的开放日工作时间可进行赎回，赎回申请将在赎回确认日进行确认，即赎回开放期后的第〖1〗个</w:t>
      </w:r>
      <w:r>
        <w:rPr>
          <w:rFonts w:hint="eastAsia" w:ascii="宋体" w:hAnsi="宋体" w:cs="宋体"/>
          <w:b w:val="0"/>
          <w:bCs/>
          <w:color w:val="000000" w:themeColor="text1"/>
          <w:sz w:val="24"/>
          <w:highlight w:val="none"/>
          <w:lang w:val="en-US" w:eastAsia="zh-CN"/>
          <w14:textFill>
            <w14:solidFill>
              <w14:schemeClr w14:val="tx1"/>
            </w14:solidFill>
          </w14:textFill>
        </w:rPr>
        <w:t>交易日</w:t>
      </w:r>
      <w:r>
        <w:rPr>
          <w:rFonts w:hint="eastAsia" w:ascii="宋体" w:hAnsi="宋体" w:cs="宋体"/>
          <w:bCs/>
          <w:color w:val="000000" w:themeColor="text1"/>
          <w:sz w:val="24"/>
          <w:highlight w:val="none"/>
          <w14:textFill>
            <w14:solidFill>
              <w14:schemeClr w14:val="tx1"/>
            </w14:solidFill>
          </w14:textFill>
        </w:rPr>
        <w:t>进行确认。</w:t>
      </w:r>
    </w:p>
    <w:p>
      <w:pPr>
        <w:numPr>
          <w:ilvl w:val="0"/>
          <w:numId w:val="43"/>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工作时间为每个</w:t>
      </w:r>
      <w:r>
        <w:rPr>
          <w:rFonts w:hint="eastAsia" w:ascii="宋体" w:hAnsi="宋体" w:cs="宋体"/>
          <w:bCs/>
          <w:color w:val="000000" w:themeColor="text1"/>
          <w:sz w:val="24"/>
          <w:highlight w:val="none"/>
          <w:lang w:val="en-US" w:eastAsia="zh-CN"/>
          <w14:textFill>
            <w14:solidFill>
              <w14:schemeClr w14:val="tx1"/>
            </w14:solidFill>
          </w14:textFill>
        </w:rPr>
        <w:t>交易日</w:t>
      </w:r>
      <w:r>
        <w:rPr>
          <w:rFonts w:hint="eastAsia" w:ascii="宋体" w:hAnsi="宋体" w:cs="宋体"/>
          <w:bCs/>
          <w:color w:val="000000" w:themeColor="text1"/>
          <w:sz w:val="24"/>
          <w:highlight w:val="none"/>
          <w14:textFill>
            <w14:solidFill>
              <w14:schemeClr w14:val="tx1"/>
            </w14:solidFill>
          </w14:textFill>
        </w:rPr>
        <w:t>上午〖9:00〗至下午〖17:00〗。</w:t>
      </w:r>
      <w:r>
        <w:rPr>
          <w:rFonts w:hint="eastAsia" w:ascii="宋体" w:hAnsi="宋体" w:cs="宋体"/>
          <w:color w:val="000000" w:themeColor="text1"/>
          <w:kern w:val="0"/>
          <w:sz w:val="24"/>
          <w:szCs w:val="24"/>
          <w:highlight w:val="none"/>
          <w14:textFill>
            <w14:solidFill>
              <w14:schemeClr w14:val="tx1"/>
            </w14:solidFill>
          </w14:textFill>
        </w:rPr>
        <w:t>（具体以销售机构规定为准）</w:t>
      </w:r>
    </w:p>
    <w:p>
      <w:pPr>
        <w:numPr>
          <w:ilvl w:val="0"/>
          <w:numId w:val="43"/>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如新增申</w:t>
      </w:r>
      <w:r>
        <w:rPr>
          <w:rFonts w:hint="eastAsia" w:ascii="宋体" w:hAnsi="宋体" w:cs="宋体"/>
          <w:bCs/>
          <w:color w:val="000000" w:themeColor="text1"/>
          <w:sz w:val="24"/>
          <w:highlight w:val="none"/>
          <w:lang w:val="en-US" w:eastAsia="zh-CN"/>
          <w14:textFill>
            <w14:solidFill>
              <w14:schemeClr w14:val="tx1"/>
            </w14:solidFill>
          </w14:textFill>
        </w:rPr>
        <w:t>购使得单一投资者持有份额比例超过理财计划总份额的50％，管理人将不再接受超出部分的申购申请。非因投资管理人主观因素导致突破前款规定比例限制的，在单一投资者持有比例降至50％以下之前，管理人将不再接受该投资者对该理财计划的申购申请。投资者持有份额的计算以管理人登记为准。</w:t>
      </w:r>
    </w:p>
    <w:p>
      <w:pPr>
        <w:numPr>
          <w:ilvl w:val="0"/>
          <w:numId w:val="42"/>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到账时间</w:t>
      </w:r>
    </w:p>
    <w:p>
      <w:p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赎回资金确认后，最快</w:t>
      </w:r>
      <w:r>
        <w:rPr>
          <w:rFonts w:hint="eastAsia" w:ascii="宋体" w:hAnsi="宋体" w:cs="宋体"/>
          <w:bCs/>
          <w:color w:val="000000" w:themeColor="text1"/>
          <w:sz w:val="24"/>
          <w:highlight w:val="none"/>
          <w:lang w:val="en-US" w:eastAsia="zh-CN"/>
          <w14:textFill>
            <w14:solidFill>
              <w14:schemeClr w14:val="tx1"/>
            </w14:solidFill>
          </w14:textFill>
        </w:rPr>
        <w:t>确认日当日</w:t>
      </w:r>
      <w:r>
        <w:rPr>
          <w:rFonts w:hint="eastAsia" w:ascii="宋体" w:hAnsi="宋体" w:cs="宋体"/>
          <w:bCs/>
          <w:color w:val="000000" w:themeColor="text1"/>
          <w:sz w:val="24"/>
          <w:highlight w:val="none"/>
          <w14:textFill>
            <w14:solidFill>
              <w14:schemeClr w14:val="tx1"/>
            </w14:solidFill>
          </w14:textFill>
        </w:rPr>
        <w:t>，最晚〖</w:t>
      </w:r>
      <w:r>
        <w:rPr>
          <w:rFonts w:hint="eastAsia" w:ascii="宋体" w:hAnsi="宋体" w:cs="宋体"/>
          <w:bCs/>
          <w:color w:val="000000" w:themeColor="text1"/>
          <w:sz w:val="24"/>
          <w:highlight w:val="none"/>
          <w:lang w:val="en-US" w:eastAsia="zh-CN"/>
          <w14:textFill>
            <w14:solidFill>
              <w14:schemeClr w14:val="tx1"/>
            </w14:solidFill>
          </w14:textFill>
        </w:rPr>
        <w:t>2</w:t>
      </w:r>
      <w:r>
        <w:rPr>
          <w:rFonts w:hint="eastAsia" w:ascii="宋体" w:hAnsi="宋体" w:cs="宋体"/>
          <w:bCs/>
          <w:color w:val="000000" w:themeColor="text1"/>
          <w:sz w:val="24"/>
          <w:highlight w:val="none"/>
          <w14:textFill>
            <w14:solidFill>
              <w14:schemeClr w14:val="tx1"/>
            </w14:solidFill>
          </w14:textFill>
        </w:rPr>
        <w:t>〗个</w:t>
      </w:r>
      <w:r>
        <w:rPr>
          <w:rFonts w:hint="eastAsia" w:ascii="宋体" w:hAnsi="宋体" w:cs="宋体"/>
          <w:bCs/>
          <w:color w:val="000000" w:themeColor="text1"/>
          <w:sz w:val="24"/>
          <w:highlight w:val="none"/>
          <w:lang w:val="en-US" w:eastAsia="zh-CN"/>
          <w14:textFill>
            <w14:solidFill>
              <w14:schemeClr w14:val="tx1"/>
            </w14:solidFill>
          </w14:textFill>
        </w:rPr>
        <w:t>交易日</w:t>
      </w:r>
      <w:r>
        <w:rPr>
          <w:rFonts w:hint="eastAsia" w:ascii="宋体" w:hAnsi="宋体" w:cs="宋体"/>
          <w:bCs/>
          <w:color w:val="000000" w:themeColor="text1"/>
          <w:sz w:val="24"/>
          <w:highlight w:val="none"/>
          <w14:textFill>
            <w14:solidFill>
              <w14:schemeClr w14:val="tx1"/>
            </w14:solidFill>
          </w14:textFill>
        </w:rPr>
        <w:t>内（遇节假日顺延）支付。如遇资金在途或法定工作日调整，实际资金到账日以公告为准。</w:t>
      </w:r>
      <w:r>
        <w:rPr>
          <w:rFonts w:hint="eastAsia" w:ascii="宋体" w:hAnsi="宋体" w:cs="宋体"/>
          <w:color w:val="000000" w:themeColor="text1"/>
          <w:kern w:val="0"/>
          <w:sz w:val="24"/>
          <w:szCs w:val="24"/>
          <w:highlight w:val="none"/>
          <w14:textFill>
            <w14:solidFill>
              <w14:schemeClr w14:val="tx1"/>
            </w14:solidFill>
          </w14:textFill>
        </w:rPr>
        <w:t>（具体以销售机构规定为准）</w:t>
      </w:r>
    </w:p>
    <w:p>
      <w:pPr>
        <w:numPr>
          <w:ilvl w:val="0"/>
          <w:numId w:val="42"/>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巨额赎回处理</w:t>
      </w:r>
    </w:p>
    <w:p>
      <w:pPr>
        <w:numPr>
          <w:ilvl w:val="0"/>
          <w:numId w:val="44"/>
        </w:num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巨额赎回认定</w:t>
      </w:r>
    </w:p>
    <w:p>
      <w:p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理财计划存续期内，若理财计划开放日净赎回申请份额超过上一日日终理财计划总份额〖10%〗时，即构成巨额赎回。</w:t>
      </w:r>
    </w:p>
    <w:p>
      <w:pPr>
        <w:numPr>
          <w:ilvl w:val="0"/>
          <w:numId w:val="4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巨额赎回处理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当出现巨额赎回时，管理人可以根据资产组合状况决定采取全额赎回或拒绝超出部分的赎回申请。</w:t>
      </w:r>
      <w:r>
        <w:rPr>
          <w:rFonts w:hint="eastAsia" w:ascii="宋体" w:hAnsi="宋体" w:cs="宋体"/>
          <w:bCs/>
          <w:color w:val="000000" w:themeColor="text1"/>
          <w:sz w:val="24"/>
          <w:highlight w:val="none"/>
          <w:lang w:val="en-US" w:eastAsia="zh-CN"/>
          <w14:textFill>
            <w14:solidFill>
              <w14:schemeClr w14:val="tx1"/>
            </w14:solidFill>
          </w14:textFill>
        </w:rPr>
        <w:t>如连续2日（含）以上开放日发生巨额赎回，对于已经接受的赎回申请，管理人可以延缓支付赎回款项，但延缓期限不得超过20个工作日。</w:t>
      </w:r>
    </w:p>
    <w:p>
      <w:pPr>
        <w:numPr>
          <w:ilvl w:val="0"/>
          <w:numId w:val="4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全部赎回</w:t>
      </w:r>
    </w:p>
    <w:p>
      <w:p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当管理人认为全额兑付投资者的赎回申请将不会对本理财计划净值造成较大波动或给本理财计划造成重大损失时，按正常赎回程序执行。</w:t>
      </w:r>
    </w:p>
    <w:p>
      <w:pPr>
        <w:numPr>
          <w:ilvl w:val="0"/>
          <w:numId w:val="4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拒绝超出部分的赎回申请</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当管理人认为全部满足投资者的赎回申请可能会对本理财计划造成重大损失或可能会对理财计划净值造成较大波动时，在当日接受赎回比例不低于理财计划上一确认日日终总份额的〖10%〗的前提下，对其余赎回申请予以拒绝，但投资者可于下一赎回开放期重新进行赎回申请。</w:t>
      </w:r>
    </w:p>
    <w:p>
      <w:pPr>
        <w:numPr>
          <w:ilvl w:val="0"/>
          <w:numId w:val="44"/>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在</w:t>
      </w:r>
      <w:r>
        <w:rPr>
          <w:rFonts w:hint="eastAsia" w:ascii="宋体" w:hAnsi="宋体" w:cs="宋体"/>
          <w:bCs/>
          <w:color w:val="000000" w:themeColor="text1"/>
          <w:sz w:val="24"/>
          <w:highlight w:val="none"/>
          <w14:textFill>
            <w14:solidFill>
              <w14:schemeClr w14:val="tx1"/>
            </w14:solidFill>
          </w14:textFill>
        </w:rPr>
        <w:t>理财计划存续期内，管理人有权根据市场情况调整巨额赎回金额比例，并及时进行对外公告。</w:t>
      </w:r>
    </w:p>
    <w:p>
      <w:pPr>
        <w:numPr>
          <w:ilvl w:val="0"/>
          <w:numId w:val="42"/>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暂停申购、赎回及延期支付赎回的情形</w:t>
      </w:r>
    </w:p>
    <w:p>
      <w:pPr>
        <w:spacing w:line="360" w:lineRule="auto"/>
        <w:ind w:firstLine="480" w:firstLineChars="200"/>
        <w:jc w:val="left"/>
        <w:rPr>
          <w:rFonts w:hint="eastAsia" w:ascii="宋体" w:hAnsi="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发生以下情形，管理人可暂停接受全部或部分投资者的申购申请：</w:t>
      </w:r>
    </w:p>
    <w:p>
      <w:pPr>
        <w:numPr>
          <w:ilvl w:val="0"/>
          <w:numId w:val="45"/>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w:t>
      </w:r>
      <w:r>
        <w:rPr>
          <w:rFonts w:hint="eastAsia" w:ascii="宋体" w:hAnsi="宋体" w:cs="宋体"/>
          <w:bCs/>
          <w:color w:val="000000" w:themeColor="text1"/>
          <w:sz w:val="24"/>
          <w:highlight w:val="none"/>
          <w:lang w:val="en-US" w:eastAsia="zh-CN"/>
          <w14:textFill>
            <w14:solidFill>
              <w14:schemeClr w14:val="tx1"/>
            </w14:solidFill>
          </w14:textFill>
        </w:rPr>
        <w:t>资产规模过大，继续接受申购可能对理财计划业绩产生负面影响，从而损害现有份额持有人利益的情形时</w:t>
      </w:r>
      <w:r>
        <w:rPr>
          <w:rFonts w:hint="eastAsia" w:ascii="宋体" w:hAnsi="宋体" w:cs="宋体"/>
          <w:bCs/>
          <w:color w:val="000000" w:themeColor="text1"/>
          <w:sz w:val="24"/>
          <w:highlight w:val="none"/>
          <w14:textFill>
            <w14:solidFill>
              <w14:schemeClr w14:val="tx1"/>
            </w14:solidFill>
          </w14:textFill>
        </w:rPr>
        <w:t>。</w:t>
      </w:r>
    </w:p>
    <w:p>
      <w:pPr>
        <w:numPr>
          <w:ilvl w:val="0"/>
          <w:numId w:val="45"/>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当</w:t>
      </w:r>
      <w:r>
        <w:rPr>
          <w:rFonts w:hint="eastAsia" w:ascii="宋体" w:hAnsi="宋体" w:cs="宋体"/>
          <w:bCs/>
          <w:color w:val="000000" w:themeColor="text1"/>
          <w:sz w:val="24"/>
          <w:highlight w:val="none"/>
          <w:lang w:val="en-US" w:eastAsia="zh-CN"/>
          <w14:textFill>
            <w14:solidFill>
              <w14:schemeClr w14:val="tx1"/>
            </w14:solidFill>
          </w14:textFill>
        </w:rPr>
        <w:t>管理人认为某笔申购申请会有损于其他份额持有人利益的情形时。</w:t>
      </w:r>
    </w:p>
    <w:p>
      <w:pPr>
        <w:numPr>
          <w:ilvl w:val="0"/>
          <w:numId w:val="45"/>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发生产品说明书约定的暂停估值的情形时。</w:t>
      </w:r>
    </w:p>
    <w:p>
      <w:pPr>
        <w:numPr>
          <w:ilvl w:val="0"/>
          <w:numId w:val="45"/>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法律</w:t>
      </w:r>
      <w:r>
        <w:rPr>
          <w:rFonts w:hint="eastAsia" w:ascii="宋体" w:hAnsi="宋体" w:cs="宋体"/>
          <w:bCs/>
          <w:color w:val="000000" w:themeColor="text1"/>
          <w:sz w:val="24"/>
          <w:highlight w:val="none"/>
          <w:lang w:val="en-US" w:eastAsia="zh-CN"/>
          <w14:textFill>
            <w14:solidFill>
              <w14:schemeClr w14:val="tx1"/>
            </w14:solidFill>
          </w14:textFill>
        </w:rPr>
        <w:t>法规规定或监管机构认定的其他情形。</w:t>
      </w:r>
    </w:p>
    <w:p>
      <w:pPr>
        <w:spacing w:line="360" w:lineRule="auto"/>
        <w:ind w:firstLine="480" w:firstLineChars="200"/>
        <w:jc w:val="left"/>
        <w:rPr>
          <w:rFonts w:hint="eastAsia" w:ascii="宋体" w:hAnsi="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发生以下情形，对超出前一日终理财产品总份额10%的赎回申请，管理人可暂停接受全部或部分、延期办理投资者的赎回申请：</w:t>
      </w:r>
    </w:p>
    <w:p>
      <w:pPr>
        <w:numPr>
          <w:ilvl w:val="0"/>
          <w:numId w:val="4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理财计划发生巨额赎回情形时。</w:t>
      </w:r>
    </w:p>
    <w:p>
      <w:pPr>
        <w:numPr>
          <w:ilvl w:val="0"/>
          <w:numId w:val="4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当继续</w:t>
      </w:r>
      <w:r>
        <w:rPr>
          <w:rFonts w:hint="default" w:ascii="宋体" w:hAnsi="宋体" w:cs="宋体"/>
          <w:bCs/>
          <w:color w:val="000000" w:themeColor="text1"/>
          <w:sz w:val="24"/>
          <w:highlight w:val="none"/>
          <w:lang w:val="en-US" w:eastAsia="zh-CN"/>
          <w14:textFill>
            <w14:solidFill>
              <w14:schemeClr w14:val="tx1"/>
            </w14:solidFill>
          </w14:textFill>
        </w:rPr>
        <w:t>接受赎回申请将损害存量投资者利益的情形</w:t>
      </w:r>
      <w:r>
        <w:rPr>
          <w:rFonts w:hint="eastAsia" w:ascii="宋体" w:hAnsi="宋体" w:cs="宋体"/>
          <w:bCs/>
          <w:color w:val="000000" w:themeColor="text1"/>
          <w:sz w:val="24"/>
          <w:highlight w:val="none"/>
          <w:lang w:val="en-US" w:eastAsia="zh-CN"/>
          <w14:textFill>
            <w14:solidFill>
              <w14:schemeClr w14:val="tx1"/>
            </w14:solidFill>
          </w14:textFill>
        </w:rPr>
        <w:t>时。</w:t>
      </w:r>
    </w:p>
    <w:p>
      <w:pPr>
        <w:numPr>
          <w:ilvl w:val="0"/>
          <w:numId w:val="4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当</w:t>
      </w:r>
      <w:r>
        <w:rPr>
          <w:rFonts w:hint="default" w:ascii="宋体" w:hAnsi="宋体" w:cs="宋体"/>
          <w:bCs/>
          <w:color w:val="000000" w:themeColor="text1"/>
          <w:sz w:val="24"/>
          <w:highlight w:val="none"/>
          <w:lang w:val="en-US" w:eastAsia="zh-CN"/>
          <w14:textFill>
            <w14:solidFill>
              <w14:schemeClr w14:val="tx1"/>
            </w14:solidFill>
          </w14:textFill>
        </w:rPr>
        <w:t>前一估值日</w:t>
      </w:r>
      <w:r>
        <w:rPr>
          <w:rFonts w:hint="eastAsia" w:ascii="宋体" w:hAnsi="宋体" w:cs="宋体"/>
          <w:bCs/>
          <w:color w:val="000000" w:themeColor="text1"/>
          <w:sz w:val="24"/>
          <w:highlight w:val="none"/>
          <w:lang w:val="en-US" w:eastAsia="zh-CN"/>
          <w14:textFill>
            <w14:solidFill>
              <w14:schemeClr w14:val="tx1"/>
            </w14:solidFill>
          </w14:textFill>
        </w:rPr>
        <w:t>理财计划</w:t>
      </w:r>
      <w:r>
        <w:rPr>
          <w:rFonts w:hint="default" w:ascii="宋体" w:hAnsi="宋体" w:cs="宋体"/>
          <w:bCs/>
          <w:color w:val="000000" w:themeColor="text1"/>
          <w:sz w:val="24"/>
          <w:highlight w:val="none"/>
          <w:lang w:val="en-US" w:eastAsia="zh-CN"/>
          <w14:textFill>
            <w14:solidFill>
              <w14:schemeClr w14:val="tx1"/>
            </w14:solidFill>
          </w14:textFill>
        </w:rPr>
        <w:t>资产净值50%以上的资产不具备活跃交易市场或者在活跃市场中无报价，且不能采用估值技术可靠计量公允价值</w:t>
      </w:r>
      <w:r>
        <w:rPr>
          <w:rFonts w:hint="eastAsia" w:ascii="宋体" w:hAnsi="宋体" w:cs="宋体"/>
          <w:bCs/>
          <w:color w:val="000000" w:themeColor="text1"/>
          <w:sz w:val="24"/>
          <w:highlight w:val="none"/>
          <w:lang w:val="en-US" w:eastAsia="zh-CN"/>
          <w14:textFill>
            <w14:solidFill>
              <w14:schemeClr w14:val="tx1"/>
            </w14:solidFill>
          </w14:textFill>
        </w:rPr>
        <w:t>的情形</w:t>
      </w:r>
      <w:r>
        <w:rPr>
          <w:rFonts w:hint="default" w:ascii="宋体" w:hAnsi="宋体" w:cs="宋体"/>
          <w:bCs/>
          <w:color w:val="000000" w:themeColor="text1"/>
          <w:sz w:val="24"/>
          <w:highlight w:val="none"/>
          <w:lang w:val="en-US" w:eastAsia="zh-CN"/>
          <w14:textFill>
            <w14:solidFill>
              <w14:schemeClr w14:val="tx1"/>
            </w14:solidFill>
          </w14:textFill>
        </w:rPr>
        <w:t>时</w:t>
      </w:r>
      <w:r>
        <w:rPr>
          <w:rFonts w:hint="eastAsia" w:ascii="宋体" w:hAnsi="宋体" w:cs="宋体"/>
          <w:bCs/>
          <w:color w:val="000000" w:themeColor="text1"/>
          <w:sz w:val="24"/>
          <w:highlight w:val="none"/>
          <w:lang w:val="en-US" w:eastAsia="zh-CN"/>
          <w14:textFill>
            <w14:solidFill>
              <w14:schemeClr w14:val="tx1"/>
            </w14:solidFill>
          </w14:textFill>
        </w:rPr>
        <w:t>。</w:t>
      </w:r>
    </w:p>
    <w:p>
      <w:pPr>
        <w:numPr>
          <w:ilvl w:val="0"/>
          <w:numId w:val="4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发生</w:t>
      </w:r>
      <w:r>
        <w:rPr>
          <w:rFonts w:hint="eastAsia" w:ascii="宋体" w:hAnsi="宋体" w:cs="宋体"/>
          <w:bCs/>
          <w:color w:val="000000" w:themeColor="text1"/>
          <w:sz w:val="24"/>
          <w:highlight w:val="none"/>
          <w:lang w:eastAsia="zh-CN"/>
          <w14:textFill>
            <w14:solidFill>
              <w14:schemeClr w14:val="tx1"/>
            </w14:solidFill>
          </w14:textFill>
        </w:rPr>
        <w:t>产品说明书约定的暂停估值的情形时。</w:t>
      </w:r>
    </w:p>
    <w:p>
      <w:pPr>
        <w:numPr>
          <w:ilvl w:val="0"/>
          <w:numId w:val="46"/>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法律</w:t>
      </w:r>
      <w:r>
        <w:rPr>
          <w:rFonts w:hint="eastAsia" w:ascii="宋体" w:hAnsi="宋体" w:cs="宋体"/>
          <w:bCs/>
          <w:color w:val="000000" w:themeColor="text1"/>
          <w:sz w:val="24"/>
          <w:highlight w:val="none"/>
          <w:lang w:val="en-US" w:eastAsia="zh-CN"/>
          <w14:textFill>
            <w14:solidFill>
              <w14:schemeClr w14:val="tx1"/>
            </w14:solidFill>
          </w14:textFill>
        </w:rPr>
        <w:t>法规规定或监管机构认定的其他情形。</w:t>
      </w:r>
    </w:p>
    <w:p>
      <w:pPr>
        <w:spacing w:line="360" w:lineRule="auto"/>
        <w:ind w:firstLine="480" w:firstLineChars="200"/>
        <w:jc w:val="left"/>
        <w:rPr>
          <w:rFonts w:hint="eastAsia" w:ascii="宋体" w:hAnsi="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发生以下情形，管理人对已接受的赎回申请，可延期支付赎回款项：</w:t>
      </w:r>
    </w:p>
    <w:p>
      <w:pPr>
        <w:numPr>
          <w:ilvl w:val="0"/>
          <w:numId w:val="47"/>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eastAsia="zh-CN"/>
          <w14:textFill>
            <w14:solidFill>
              <w14:schemeClr w14:val="tx1"/>
            </w14:solidFill>
          </w14:textFill>
        </w:rPr>
        <w:t>因</w:t>
      </w:r>
      <w:r>
        <w:rPr>
          <w:rFonts w:hint="eastAsia" w:ascii="宋体" w:hAnsi="宋体" w:cs="宋体"/>
          <w:bCs/>
          <w:color w:val="000000" w:themeColor="text1"/>
          <w:sz w:val="24"/>
          <w:highlight w:val="none"/>
          <w:lang w:val="en-US" w:eastAsia="zh-CN"/>
          <w14:textFill>
            <w14:solidFill>
              <w14:schemeClr w14:val="tx1"/>
            </w14:solidFill>
          </w14:textFill>
        </w:rPr>
        <w:t>不可抗力等原因，导致管理人接受赎回申请后无法及时兑付的情形时。</w:t>
      </w:r>
    </w:p>
    <w:p>
      <w:pPr>
        <w:numPr>
          <w:ilvl w:val="0"/>
          <w:numId w:val="47"/>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连续</w:t>
      </w:r>
      <w:r>
        <w:rPr>
          <w:rFonts w:hint="default" w:ascii="宋体" w:hAnsi="宋体" w:cs="宋体"/>
          <w:bCs/>
          <w:color w:val="000000" w:themeColor="text1"/>
          <w:sz w:val="24"/>
          <w:highlight w:val="none"/>
          <w:lang w:val="en-US" w:eastAsia="zh-CN"/>
          <w14:textFill>
            <w14:solidFill>
              <w14:schemeClr w14:val="tx1"/>
            </w14:solidFill>
          </w14:textFill>
        </w:rPr>
        <w:t>2</w:t>
      </w:r>
      <w:r>
        <w:rPr>
          <w:rFonts w:hint="eastAsia" w:ascii="宋体" w:hAnsi="宋体" w:cs="宋体"/>
          <w:bCs/>
          <w:color w:val="000000" w:themeColor="text1"/>
          <w:sz w:val="24"/>
          <w:highlight w:val="none"/>
          <w:lang w:val="en-US" w:eastAsia="zh-CN"/>
          <w14:textFill>
            <w14:solidFill>
              <w14:schemeClr w14:val="tx1"/>
            </w14:solidFill>
          </w14:textFill>
        </w:rPr>
        <w:t>日</w:t>
      </w:r>
      <w:r>
        <w:rPr>
          <w:rFonts w:hint="default" w:ascii="宋体" w:hAnsi="宋体" w:cs="宋体"/>
          <w:bCs/>
          <w:color w:val="000000" w:themeColor="text1"/>
          <w:sz w:val="24"/>
          <w:highlight w:val="none"/>
          <w:lang w:val="en-US" w:eastAsia="zh-CN"/>
          <w14:textFill>
            <w14:solidFill>
              <w14:schemeClr w14:val="tx1"/>
            </w14:solidFill>
          </w14:textFill>
        </w:rPr>
        <w:t>（含）以上开放日发生巨额赎回的</w:t>
      </w:r>
      <w:r>
        <w:rPr>
          <w:rFonts w:hint="eastAsia" w:ascii="宋体" w:hAnsi="宋体" w:cs="宋体"/>
          <w:bCs/>
          <w:color w:val="000000" w:themeColor="text1"/>
          <w:sz w:val="24"/>
          <w:highlight w:val="none"/>
          <w:lang w:val="en-US" w:eastAsia="zh-CN"/>
          <w14:textFill>
            <w14:solidFill>
              <w14:schemeClr w14:val="tx1"/>
            </w14:solidFill>
          </w14:textFill>
        </w:rPr>
        <w:t>情形时。</w:t>
      </w:r>
    </w:p>
    <w:p>
      <w:pPr>
        <w:numPr>
          <w:ilvl w:val="0"/>
          <w:numId w:val="47"/>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当前</w:t>
      </w:r>
      <w:r>
        <w:rPr>
          <w:rFonts w:hint="default" w:ascii="宋体" w:hAnsi="宋体" w:cs="宋体"/>
          <w:bCs/>
          <w:color w:val="000000" w:themeColor="text1"/>
          <w:sz w:val="24"/>
          <w:highlight w:val="none"/>
          <w:lang w:val="en-US" w:eastAsia="zh-CN"/>
          <w14:textFill>
            <w14:solidFill>
              <w14:schemeClr w14:val="tx1"/>
            </w14:solidFill>
          </w14:textFill>
        </w:rPr>
        <w:t>一估值日</w:t>
      </w:r>
      <w:r>
        <w:rPr>
          <w:rFonts w:hint="eastAsia" w:ascii="宋体" w:hAnsi="宋体" w:cs="宋体"/>
          <w:bCs/>
          <w:color w:val="000000" w:themeColor="text1"/>
          <w:sz w:val="24"/>
          <w:highlight w:val="none"/>
          <w:lang w:val="en-US" w:eastAsia="zh-CN"/>
          <w14:textFill>
            <w14:solidFill>
              <w14:schemeClr w14:val="tx1"/>
            </w14:solidFill>
          </w14:textFill>
        </w:rPr>
        <w:t>理财计划</w:t>
      </w:r>
      <w:r>
        <w:rPr>
          <w:rFonts w:hint="default" w:ascii="宋体" w:hAnsi="宋体" w:cs="宋体"/>
          <w:bCs/>
          <w:color w:val="000000" w:themeColor="text1"/>
          <w:sz w:val="24"/>
          <w:highlight w:val="none"/>
          <w:lang w:val="en-US" w:eastAsia="zh-CN"/>
          <w14:textFill>
            <w14:solidFill>
              <w14:schemeClr w14:val="tx1"/>
            </w14:solidFill>
          </w14:textFill>
        </w:rPr>
        <w:t>资产净值50%以上的资产不具备活跃交易市场或者在活跃市场中无报价，且不能采用估值技术可靠计量公允价值</w:t>
      </w:r>
      <w:r>
        <w:rPr>
          <w:rFonts w:hint="eastAsia" w:ascii="宋体" w:hAnsi="宋体" w:cs="宋体"/>
          <w:bCs/>
          <w:color w:val="000000" w:themeColor="text1"/>
          <w:sz w:val="24"/>
          <w:highlight w:val="none"/>
          <w:lang w:val="en-US" w:eastAsia="zh-CN"/>
          <w14:textFill>
            <w14:solidFill>
              <w14:schemeClr w14:val="tx1"/>
            </w14:solidFill>
          </w14:textFill>
        </w:rPr>
        <w:t>的情形</w:t>
      </w:r>
      <w:r>
        <w:rPr>
          <w:rFonts w:hint="default" w:ascii="宋体" w:hAnsi="宋体" w:cs="宋体"/>
          <w:bCs/>
          <w:color w:val="000000" w:themeColor="text1"/>
          <w:sz w:val="24"/>
          <w:highlight w:val="none"/>
          <w:lang w:val="en-US" w:eastAsia="zh-CN"/>
          <w14:textFill>
            <w14:solidFill>
              <w14:schemeClr w14:val="tx1"/>
            </w14:solidFill>
          </w14:textFill>
        </w:rPr>
        <w:t>时</w:t>
      </w:r>
      <w:r>
        <w:rPr>
          <w:rFonts w:hint="eastAsia" w:ascii="宋体" w:hAnsi="宋体" w:cs="宋体"/>
          <w:bCs/>
          <w:color w:val="000000" w:themeColor="text1"/>
          <w:sz w:val="24"/>
          <w:highlight w:val="none"/>
          <w:lang w:val="en-US" w:eastAsia="zh-CN"/>
          <w14:textFill>
            <w14:solidFill>
              <w14:schemeClr w14:val="tx1"/>
            </w14:solidFill>
          </w14:textFill>
        </w:rPr>
        <w:t>。</w:t>
      </w:r>
    </w:p>
    <w:p>
      <w:pPr>
        <w:numPr>
          <w:ilvl w:val="0"/>
          <w:numId w:val="47"/>
        </w:num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法律法规规定或监管机构认定的其他情形。</w:t>
      </w:r>
    </w:p>
    <w:p>
      <w:pPr>
        <w:numPr>
          <w:ilvl w:val="0"/>
          <w:numId w:val="3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到期清算</w:t>
      </w:r>
    </w:p>
    <w:p>
      <w:pPr>
        <w:spacing w:line="360" w:lineRule="auto"/>
        <w:ind w:firstLine="480" w:firstLineChars="200"/>
        <w:jc w:val="lef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正常到期清算：本理财计划终止后，管理人将按照清算后的资产净值按持有份额比例对投资者进行分配，并通过销售机构最快〖</w:t>
      </w:r>
      <w:r>
        <w:rPr>
          <w:rFonts w:hint="eastAsia" w:ascii="宋体" w:hAnsi="宋体" w:cs="宋体"/>
          <w:bCs/>
          <w:color w:val="000000" w:themeColor="text1"/>
          <w:sz w:val="24"/>
          <w:highlight w:val="none"/>
          <w:lang w:val="en-US" w:eastAsia="zh-CN"/>
          <w14:textFill>
            <w14:solidFill>
              <w14:schemeClr w14:val="tx1"/>
            </w14:solidFill>
          </w14:textFill>
        </w:rPr>
        <w:t>1</w:t>
      </w:r>
      <w:r>
        <w:rPr>
          <w:rFonts w:hint="eastAsia" w:ascii="宋体" w:hAnsi="宋体" w:cs="宋体"/>
          <w:bCs/>
          <w:color w:val="000000" w:themeColor="text1"/>
          <w:sz w:val="24"/>
          <w:highlight w:val="none"/>
          <w14:textFill>
            <w14:solidFill>
              <w14:schemeClr w14:val="tx1"/>
            </w14:solidFill>
          </w14:textFill>
        </w:rPr>
        <w:t>〗个</w:t>
      </w:r>
      <w:r>
        <w:rPr>
          <w:rFonts w:hint="eastAsia" w:ascii="宋体" w:hAnsi="宋体" w:cs="宋体"/>
          <w:bCs/>
          <w:color w:val="000000" w:themeColor="text1"/>
          <w:sz w:val="24"/>
          <w:highlight w:val="none"/>
          <w:lang w:val="en-US" w:eastAsia="zh-CN"/>
          <w14:textFill>
            <w14:solidFill>
              <w14:schemeClr w14:val="tx1"/>
            </w14:solidFill>
          </w14:textFill>
        </w:rPr>
        <w:t>交易日</w:t>
      </w:r>
      <w:r>
        <w:rPr>
          <w:rFonts w:hint="eastAsia" w:ascii="宋体" w:hAnsi="宋体" w:cs="宋体"/>
          <w:bCs/>
          <w:color w:val="000000" w:themeColor="text1"/>
          <w:sz w:val="24"/>
          <w:highlight w:val="none"/>
          <w14:textFill>
            <w14:solidFill>
              <w14:schemeClr w14:val="tx1"/>
            </w14:solidFill>
          </w14:textFill>
        </w:rPr>
        <w:t>、最晚〖</w:t>
      </w:r>
      <w:r>
        <w:rPr>
          <w:rFonts w:hint="eastAsia" w:ascii="宋体" w:hAnsi="宋体" w:cs="宋体"/>
          <w:bCs/>
          <w:color w:val="000000" w:themeColor="text1"/>
          <w:sz w:val="24"/>
          <w:highlight w:val="none"/>
          <w:lang w:val="en-US" w:eastAsia="zh-CN"/>
          <w14:textFill>
            <w14:solidFill>
              <w14:schemeClr w14:val="tx1"/>
            </w14:solidFill>
          </w14:textFill>
        </w:rPr>
        <w:t>3</w:t>
      </w:r>
      <w:r>
        <w:rPr>
          <w:rFonts w:hint="eastAsia" w:ascii="宋体" w:hAnsi="宋体" w:cs="宋体"/>
          <w:bCs/>
          <w:color w:val="000000" w:themeColor="text1"/>
          <w:sz w:val="24"/>
          <w:highlight w:val="none"/>
          <w14:textFill>
            <w14:solidFill>
              <w14:schemeClr w14:val="tx1"/>
            </w14:solidFill>
          </w14:textFill>
        </w:rPr>
        <w:t>〗个</w:t>
      </w:r>
      <w:r>
        <w:rPr>
          <w:rFonts w:hint="eastAsia" w:ascii="宋体" w:hAnsi="宋体" w:cs="宋体"/>
          <w:bCs/>
          <w:color w:val="000000" w:themeColor="text1"/>
          <w:sz w:val="24"/>
          <w:highlight w:val="none"/>
          <w:lang w:val="en-US" w:eastAsia="zh-CN"/>
          <w14:textFill>
            <w14:solidFill>
              <w14:schemeClr w14:val="tx1"/>
            </w14:solidFill>
          </w14:textFill>
        </w:rPr>
        <w:t>交易日</w:t>
      </w:r>
      <w:r>
        <w:rPr>
          <w:rFonts w:hint="eastAsia" w:ascii="宋体" w:hAnsi="宋体" w:cs="宋体"/>
          <w:bCs/>
          <w:color w:val="000000" w:themeColor="text1"/>
          <w:sz w:val="24"/>
          <w:highlight w:val="none"/>
          <w14:textFill>
            <w14:solidFill>
              <w14:schemeClr w14:val="tx1"/>
            </w14:solidFill>
          </w14:textFill>
        </w:rPr>
        <w:t>内（遇节假日顺延）将资金按规定的要求划入投资者授权指定的理财账户。</w:t>
      </w:r>
      <w:r>
        <w:rPr>
          <w:rFonts w:hint="eastAsia" w:ascii="宋体" w:hAnsi="宋体" w:cs="宋体"/>
          <w:color w:val="000000" w:themeColor="text1"/>
          <w:kern w:val="0"/>
          <w:sz w:val="24"/>
          <w:szCs w:val="24"/>
          <w:highlight w:val="none"/>
          <w14:textFill>
            <w14:solidFill>
              <w14:schemeClr w14:val="tx1"/>
            </w14:solidFill>
          </w14:textFill>
        </w:rPr>
        <w:t>（具体以销售机构规定为准）</w:t>
      </w:r>
    </w:p>
    <w:p>
      <w:pPr>
        <w:numPr>
          <w:ilvl w:val="0"/>
          <w:numId w:val="3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提前终止</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在理财计划期限内，管理人根据投资情况有提前终止权，于本理财计划提前终止日前</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2〗个〖工作日〗通过管理人或销售机构发布提前终止公告，并于终止日后</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bCs/>
          <w:color w:val="000000" w:themeColor="text1"/>
          <w:sz w:val="24"/>
          <w:highlight w:val="none"/>
          <w14:textFill>
            <w14:solidFill>
              <w14:schemeClr w14:val="tx1"/>
            </w14:solidFill>
          </w14:textFill>
        </w:rPr>
        <w:t>〗个</w:t>
      </w:r>
      <w:r>
        <w:rPr>
          <w:rFonts w:hint="eastAsia" w:ascii="宋体" w:hAnsi="宋体" w:cs="宋体"/>
          <w:bCs/>
          <w:color w:val="000000" w:themeColor="text1"/>
          <w:sz w:val="24"/>
          <w:highlight w:val="none"/>
          <w:lang w:val="en-US" w:eastAsia="zh-CN"/>
          <w14:textFill>
            <w14:solidFill>
              <w14:schemeClr w14:val="tx1"/>
            </w14:solidFill>
          </w14:textFill>
        </w:rPr>
        <w:t>交易</w:t>
      </w:r>
      <w:r>
        <w:rPr>
          <w:rFonts w:hint="eastAsia" w:ascii="宋体" w:hAnsi="宋体" w:cs="宋体"/>
          <w:bCs/>
          <w:color w:val="000000" w:themeColor="text1"/>
          <w:sz w:val="24"/>
          <w:highlight w:val="none"/>
          <w14:textFill>
            <w14:solidFill>
              <w14:schemeClr w14:val="tx1"/>
            </w14:solidFill>
          </w14:textFill>
        </w:rPr>
        <w:t>日内将可兑付款项按规定的要求划入投资者授权指定的理财账户。终止日至资金实际到账日之间，投资者资金不计息。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如发生以下事项时，管理人可对本理财计划行使全部</w:t>
      </w:r>
      <w:r>
        <w:rPr>
          <w:rFonts w:hint="eastAsia" w:ascii="宋体" w:hAnsi="宋体" w:cs="宋体"/>
          <w:b/>
          <w:color w:val="000000" w:themeColor="text1"/>
          <w:sz w:val="24"/>
          <w:highlight w:val="none"/>
          <w:lang w:eastAsia="zh-CN"/>
          <w14:textFill>
            <w14:solidFill>
              <w14:schemeClr w14:val="tx1"/>
            </w14:solidFill>
          </w14:textFill>
        </w:rPr>
        <w:t>或部分</w:t>
      </w:r>
      <w:r>
        <w:rPr>
          <w:rFonts w:hint="eastAsia" w:ascii="宋体" w:hAnsi="宋体" w:cs="宋体"/>
          <w:b/>
          <w:color w:val="000000" w:themeColor="text1"/>
          <w:sz w:val="24"/>
          <w:highlight w:val="none"/>
          <w14:textFill>
            <w14:solidFill>
              <w14:schemeClr w14:val="tx1"/>
            </w14:solidFill>
          </w14:textFill>
        </w:rPr>
        <w:t>提前终止权：</w:t>
      </w:r>
    </w:p>
    <w:p>
      <w:pPr>
        <w:numPr>
          <w:ilvl w:val="0"/>
          <w:numId w:val="48"/>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如因本理财计划资产运作模式等与法律法规、规章的规定或者监管部门的要求等存在冲突导致理财计划必须提前终止的。</w:t>
      </w:r>
    </w:p>
    <w:p>
      <w:pPr>
        <w:numPr>
          <w:ilvl w:val="0"/>
          <w:numId w:val="48"/>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国家有关法律、法规、规章、政策的改变、紧急措施的出台、理财市场环境发生重大变化等导致理财计划必须提前终止的。</w:t>
      </w:r>
    </w:p>
    <w:p>
      <w:pPr>
        <w:numPr>
          <w:ilvl w:val="0"/>
          <w:numId w:val="48"/>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因不可抗力因素导致本理财计划必须提前终止的。</w:t>
      </w:r>
    </w:p>
    <w:p>
      <w:pPr>
        <w:numPr>
          <w:ilvl w:val="0"/>
          <w:numId w:val="48"/>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理财计划的投资策略已不适合当前的市场环境的。</w:t>
      </w:r>
    </w:p>
    <w:p>
      <w:pPr>
        <w:numPr>
          <w:ilvl w:val="0"/>
          <w:numId w:val="48"/>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eastAsia="zh-CN"/>
          <w14:textFill>
            <w14:solidFill>
              <w14:schemeClr w14:val="tx1"/>
            </w14:solidFill>
          </w14:textFill>
        </w:rPr>
        <w:t>融资人行使提前到期或还款权利的。</w:t>
      </w:r>
    </w:p>
    <w:p>
      <w:pPr>
        <w:numPr>
          <w:ilvl w:val="0"/>
          <w:numId w:val="48"/>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管理人认为应该提前终止的其他情形。</w:t>
      </w:r>
    </w:p>
    <w:p>
      <w:pPr>
        <w:numPr>
          <w:ilvl w:val="0"/>
          <w:numId w:val="39"/>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延期</w:t>
      </w:r>
    </w:p>
    <w:p>
      <w:pPr>
        <w:spacing w:line="360" w:lineRule="auto"/>
        <w:ind w:firstLine="480" w:firstLineChars="200"/>
        <w:jc w:val="lef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49"/>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预计在理财计划预计到期日，理财计划资产因市场风险、信用风险等原因无法全部变现。</w:t>
      </w:r>
    </w:p>
    <w:p>
      <w:pPr>
        <w:numPr>
          <w:ilvl w:val="0"/>
          <w:numId w:val="49"/>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预计理财计划所投资的信托计划、资管计划、私募基金的受托人或管理人不能按时向管理人划付理财计划的本金和收益。</w:t>
      </w:r>
    </w:p>
    <w:p>
      <w:pPr>
        <w:numPr>
          <w:ilvl w:val="0"/>
          <w:numId w:val="49"/>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理财计划财产涉及诉讼或仲裁，且预计诉讼或仲裁执行程序于理财计划到期日尚未终结。</w:t>
      </w:r>
    </w:p>
    <w:p>
      <w:pPr>
        <w:numPr>
          <w:ilvl w:val="0"/>
          <w:numId w:val="49"/>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管理人与托管人、销售机构协商一致决定延期。</w:t>
      </w:r>
    </w:p>
    <w:p>
      <w:pPr>
        <w:numPr>
          <w:ilvl w:val="0"/>
          <w:numId w:val="49"/>
        </w:numPr>
        <w:spacing w:line="360" w:lineRule="auto"/>
        <w:ind w:firstLine="482" w:firstLineChars="200"/>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法律法规规定的或管理人认为有必要延期的其他情形。</w:t>
      </w:r>
    </w:p>
    <w:p>
      <w:pPr>
        <w:spacing w:line="360" w:lineRule="auto"/>
        <w:jc w:val="left"/>
        <w:rPr>
          <w:rFonts w:ascii="宋体" w:hAnsi="宋体" w:cs="宋体"/>
          <w:b/>
          <w:color w:val="000000" w:themeColor="text1"/>
          <w:sz w:val="24"/>
          <w:highlight w:val="none"/>
          <w14:textFill>
            <w14:solidFill>
              <w14:schemeClr w14:val="tx1"/>
            </w14:solidFill>
          </w14:textFill>
        </w:rPr>
      </w:pPr>
    </w:p>
    <w:p>
      <w:pPr>
        <w:numPr>
          <w:ilvl w:val="0"/>
          <w:numId w:val="22"/>
        </w:numPr>
        <w:spacing w:line="360" w:lineRule="auto"/>
        <w:ind w:firstLine="482" w:firstLineChars="200"/>
        <w:jc w:val="left"/>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信息披露</w:t>
      </w:r>
    </w:p>
    <w:p>
      <w:pPr>
        <w:numPr>
          <w:ilvl w:val="0"/>
          <w:numId w:val="50"/>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披露内容及时间</w:t>
      </w:r>
    </w:p>
    <w:p>
      <w:pPr>
        <w:numPr>
          <w:ilvl w:val="0"/>
          <w:numId w:val="51"/>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认购信息披露</w:t>
      </w:r>
    </w:p>
    <w:p>
      <w:pPr>
        <w:numPr>
          <w:ilvl w:val="0"/>
          <w:numId w:val="52"/>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理财计划合同：管理人应在正式办理理财计划份额认购前披露，包括但不限于</w:t>
      </w:r>
      <w:r>
        <w:rPr>
          <w:rFonts w:hint="eastAsia" w:ascii="宋体" w:hAnsi="宋体" w:cs="宋体"/>
          <w:bCs/>
          <w:color w:val="000000" w:themeColor="text1"/>
          <w:sz w:val="24"/>
          <w:highlight w:val="none"/>
          <w:lang w:eastAsia="zh-CN"/>
          <w14:textFill>
            <w14:solidFill>
              <w14:schemeClr w14:val="tx1"/>
            </w14:solidFill>
          </w14:textFill>
        </w:rPr>
        <w:t>理财计划</w:t>
      </w:r>
      <w:r>
        <w:rPr>
          <w:rFonts w:hint="eastAsia" w:ascii="宋体" w:hAnsi="宋体" w:cs="宋体"/>
          <w:bCs/>
          <w:color w:val="000000" w:themeColor="text1"/>
          <w:sz w:val="24"/>
          <w:highlight w:val="none"/>
          <w14:textFill>
            <w14:solidFill>
              <w14:schemeClr w14:val="tx1"/>
            </w14:solidFill>
          </w14:textFill>
        </w:rPr>
        <w:t>风险揭示书、</w:t>
      </w:r>
      <w:r>
        <w:rPr>
          <w:rFonts w:hint="eastAsia" w:ascii="宋体" w:hAnsi="宋体" w:cs="宋体"/>
          <w:bCs/>
          <w:color w:val="000000" w:themeColor="text1"/>
          <w:sz w:val="24"/>
          <w:highlight w:val="none"/>
          <w:lang w:eastAsia="zh-CN"/>
          <w14:textFill>
            <w14:solidFill>
              <w14:schemeClr w14:val="tx1"/>
            </w14:solidFill>
          </w14:textFill>
        </w:rPr>
        <w:t>理财计划</w:t>
      </w:r>
      <w:r>
        <w:rPr>
          <w:rFonts w:hint="eastAsia" w:ascii="宋体" w:hAnsi="宋体" w:cs="宋体"/>
          <w:bCs/>
          <w:color w:val="000000" w:themeColor="text1"/>
          <w:sz w:val="24"/>
          <w:highlight w:val="none"/>
          <w14:textFill>
            <w14:solidFill>
              <w14:schemeClr w14:val="tx1"/>
            </w14:solidFill>
          </w14:textFill>
        </w:rPr>
        <w:t>产品说明书、投资者权益须知</w:t>
      </w:r>
      <w:r>
        <w:rPr>
          <w:rFonts w:hint="eastAsia" w:ascii="宋体" w:hAnsi="宋体" w:cs="宋体"/>
          <w:bCs/>
          <w:color w:val="000000" w:themeColor="text1"/>
          <w:sz w:val="24"/>
          <w:highlight w:val="none"/>
          <w:lang w:eastAsia="zh-CN"/>
          <w14:textFill>
            <w14:solidFill>
              <w14:schemeClr w14:val="tx1"/>
            </w14:solidFill>
          </w14:textFill>
        </w:rPr>
        <w:t>、</w:t>
      </w:r>
      <w:r>
        <w:rPr>
          <w:rFonts w:hint="eastAsia" w:ascii="宋体" w:hAnsi="宋体" w:cs="宋体"/>
          <w:bCs/>
          <w:color w:val="000000" w:themeColor="text1"/>
          <w:sz w:val="24"/>
          <w:highlight w:val="none"/>
          <w14:textFill>
            <w14:solidFill>
              <w14:schemeClr w14:val="tx1"/>
            </w14:solidFill>
          </w14:textFill>
        </w:rPr>
        <w:t>理财计划投资协议书</w:t>
      </w:r>
      <w:r>
        <w:rPr>
          <w:rFonts w:hint="eastAsia" w:ascii="宋体" w:hAnsi="宋体" w:cs="宋体"/>
          <w:bCs/>
          <w:color w:val="000000" w:themeColor="text1"/>
          <w:sz w:val="24"/>
          <w:highlight w:val="none"/>
          <w:lang w:eastAsia="zh-CN"/>
          <w14:textFill>
            <w14:solidFill>
              <w14:schemeClr w14:val="tx1"/>
            </w14:solidFill>
          </w14:textFill>
        </w:rPr>
        <w:t>以及理财计划销售协议书</w:t>
      </w:r>
      <w:r>
        <w:rPr>
          <w:rFonts w:hint="eastAsia" w:ascii="宋体" w:hAnsi="宋体" w:cs="宋体"/>
          <w:bCs/>
          <w:color w:val="000000" w:themeColor="text1"/>
          <w:sz w:val="24"/>
          <w:highlight w:val="none"/>
          <w14:textFill>
            <w14:solidFill>
              <w14:schemeClr w14:val="tx1"/>
            </w14:solidFill>
          </w14:textFill>
        </w:rPr>
        <w:t>。</w:t>
      </w:r>
    </w:p>
    <w:p>
      <w:pPr>
        <w:numPr>
          <w:ilvl w:val="0"/>
          <w:numId w:val="52"/>
        </w:numPr>
        <w:spacing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发行公告：管理人应在理财计划成立日后</w:t>
      </w:r>
      <w:r>
        <w:rPr>
          <w:rFonts w:hint="eastAsia" w:ascii="宋体" w:hAnsi="宋体" w:cs="宋体"/>
          <w:bCs/>
          <w:color w:val="000000" w:themeColor="text1"/>
          <w:sz w:val="24"/>
          <w:highlight w:val="none"/>
          <w:lang w:val="en-US" w:eastAsia="zh-CN"/>
          <w14:textFill>
            <w14:solidFill>
              <w14:schemeClr w14:val="tx1"/>
            </w14:solidFill>
          </w14:textFill>
        </w:rPr>
        <w:t>5</w:t>
      </w:r>
      <w:r>
        <w:rPr>
          <w:rFonts w:hint="eastAsia" w:ascii="宋体" w:hAnsi="宋体" w:cs="宋体"/>
          <w:bCs/>
          <w:color w:val="000000" w:themeColor="text1"/>
          <w:sz w:val="24"/>
          <w:highlight w:val="none"/>
          <w14:textFill>
            <w14:solidFill>
              <w14:schemeClr w14:val="tx1"/>
            </w14:solidFill>
          </w14:textFill>
        </w:rPr>
        <w:t>个工作日内披露，包括成立日期、募集规模等信息。</w:t>
      </w:r>
    </w:p>
    <w:p>
      <w:pPr>
        <w:numPr>
          <w:ilvl w:val="0"/>
          <w:numId w:val="51"/>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运作信息披露</w:t>
      </w:r>
    </w:p>
    <w:p>
      <w:pPr>
        <w:numPr>
          <w:ilvl w:val="0"/>
          <w:numId w:val="53"/>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理财计划净值：管理人应在理财计划成立后，每个开放确认日后</w:t>
      </w:r>
      <w:r>
        <w:rPr>
          <w:rFonts w:hint="eastAsia" w:ascii="宋体" w:hAnsi="宋体" w:cs="宋体"/>
          <w:bCs/>
          <w:color w:val="000000" w:themeColor="text1"/>
          <w:sz w:val="24"/>
          <w:highlight w:val="none"/>
          <w:lang w:val="en-US" w:eastAsia="zh-CN"/>
          <w14:textFill>
            <w14:solidFill>
              <w14:schemeClr w14:val="tx1"/>
            </w14:solidFill>
          </w14:textFill>
        </w:rPr>
        <w:t>2</w:t>
      </w:r>
      <w:r>
        <w:rPr>
          <w:rFonts w:hint="eastAsia" w:ascii="宋体" w:hAnsi="宋体" w:cs="宋体"/>
          <w:bCs/>
          <w:color w:val="000000" w:themeColor="text1"/>
          <w:sz w:val="24"/>
          <w:highlight w:val="none"/>
          <w14:textFill>
            <w14:solidFill>
              <w14:schemeClr w14:val="tx1"/>
            </w14:solidFill>
          </w14:textFill>
        </w:rPr>
        <w:t>个工作日内披露本理财计划净值。</w:t>
      </w:r>
    </w:p>
    <w:p>
      <w:pPr>
        <w:numPr>
          <w:ilvl w:val="0"/>
          <w:numId w:val="53"/>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themeColor="text1"/>
          <w:sz w:val="24"/>
          <w:highlight w:val="none"/>
          <w:lang w:eastAsia="zh-CN"/>
          <w14:textFill>
            <w14:solidFill>
              <w14:schemeClr w14:val="tx1"/>
            </w14:solidFill>
          </w14:textFill>
        </w:rPr>
        <w:t>。如本理财计划成立不足</w:t>
      </w:r>
      <w:r>
        <w:rPr>
          <w:rFonts w:hint="eastAsia" w:ascii="宋体" w:hAnsi="宋体" w:cs="宋体"/>
          <w:bCs/>
          <w:color w:val="000000" w:themeColor="text1"/>
          <w:sz w:val="24"/>
          <w:highlight w:val="none"/>
          <w:lang w:val="en-US" w:eastAsia="zh-CN"/>
          <w14:textFill>
            <w14:solidFill>
              <w14:schemeClr w14:val="tx1"/>
            </w14:solidFill>
          </w14:textFill>
        </w:rPr>
        <w:t>90个工作日或剩余存续期不超过90个工作日的，管理人可不编制当期的季度、半年和年度报告等运行报告。</w:t>
      </w:r>
    </w:p>
    <w:p>
      <w:pPr>
        <w:numPr>
          <w:ilvl w:val="0"/>
          <w:numId w:val="53"/>
        </w:numPr>
        <w:spacing w:line="360" w:lineRule="auto"/>
        <w:ind w:firstLine="480" w:firstLineChars="200"/>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到期报告：管理人应在理财计划到期后5个工作日内披露，包括存续期限、到期兑付净值、收益分配情况等信息。</w:t>
      </w:r>
    </w:p>
    <w:p>
      <w:pPr>
        <w:numPr>
          <w:ilvl w:val="0"/>
          <w:numId w:val="51"/>
        </w:numPr>
        <w:spacing w:line="360" w:lineRule="auto"/>
        <w:ind w:firstLine="482" w:firstLineChars="200"/>
        <w:jc w:val="left"/>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临时信息披露</w:t>
      </w:r>
    </w:p>
    <w:p>
      <w:pPr>
        <w:numPr>
          <w:ilvl w:val="0"/>
          <w:numId w:val="54"/>
        </w:num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重大事项公告：</w:t>
      </w:r>
      <w:r>
        <w:rPr>
          <w:rFonts w:hint="eastAsia" w:ascii="宋体" w:hAnsi="宋体" w:cs="宋体"/>
          <w:bCs/>
          <w:color w:val="000000" w:themeColor="text1"/>
          <w:sz w:val="24"/>
          <w:highlight w:val="none"/>
          <w:lang w:eastAsia="zh-CN"/>
          <w14:textFill>
            <w14:solidFill>
              <w14:schemeClr w14:val="tx1"/>
            </w14:solidFill>
          </w14:textFill>
        </w:rPr>
        <w:t>管理人应在运用</w:t>
      </w:r>
      <w:r>
        <w:rPr>
          <w:rFonts w:hint="eastAsia" w:ascii="宋体" w:hAnsi="宋体" w:cs="宋体"/>
          <w:bCs/>
          <w:color w:val="000000" w:themeColor="text1"/>
          <w:sz w:val="24"/>
          <w:highlight w:val="none"/>
          <w14:textFill>
            <w14:solidFill>
              <w14:schemeClr w14:val="tx1"/>
            </w14:solidFill>
          </w14:textFill>
        </w:rPr>
        <w:t>收取短期赎回费、摆动定价等措施后，3个交易日内</w:t>
      </w:r>
      <w:r>
        <w:rPr>
          <w:rFonts w:hint="eastAsia" w:ascii="宋体" w:hAnsi="宋体" w:cs="宋体"/>
          <w:bCs/>
          <w:color w:val="000000" w:themeColor="text1"/>
          <w:sz w:val="24"/>
          <w:highlight w:val="none"/>
          <w:lang w:eastAsia="zh-CN"/>
          <w14:textFill>
            <w14:solidFill>
              <w14:schemeClr w14:val="tx1"/>
            </w14:solidFill>
          </w14:textFill>
        </w:rPr>
        <w:t>发布相关事项公告；应在</w:t>
      </w:r>
      <w:r>
        <w:rPr>
          <w:rFonts w:hint="eastAsia" w:ascii="宋体" w:hAnsi="宋体" w:cs="宋体"/>
          <w:bCs/>
          <w:color w:val="000000" w:themeColor="text1"/>
          <w:sz w:val="24"/>
          <w:highlight w:val="none"/>
          <w:lang w:val="en-US" w:eastAsia="zh-CN"/>
          <w14:textFill>
            <w14:solidFill>
              <w14:schemeClr w14:val="tx1"/>
            </w14:solidFill>
          </w14:textFill>
        </w:rPr>
        <w:t>运用暂停认购、延期办理巨额赎回申请、暂停接受赎回申请、延缓支付赎回款项、暂停理财产品估值等措施后，</w:t>
      </w:r>
      <w:r>
        <w:rPr>
          <w:rFonts w:hint="eastAsia" w:ascii="宋体" w:hAnsi="宋体" w:cs="宋体"/>
          <w:bCs/>
          <w:color w:val="000000" w:themeColor="text1"/>
          <w:sz w:val="24"/>
          <w:highlight w:val="none"/>
          <w14:textFill>
            <w14:solidFill>
              <w14:schemeClr w14:val="tx1"/>
            </w14:solidFill>
          </w14:textFill>
        </w:rPr>
        <w:t>3个交易日内</w:t>
      </w:r>
      <w:r>
        <w:rPr>
          <w:rFonts w:hint="eastAsia" w:ascii="宋体" w:hAnsi="宋体" w:cs="宋体"/>
          <w:bCs/>
          <w:color w:val="000000" w:themeColor="text1"/>
          <w:sz w:val="24"/>
          <w:highlight w:val="none"/>
          <w:lang w:eastAsia="zh-CN"/>
          <w14:textFill>
            <w14:solidFill>
              <w14:schemeClr w14:val="tx1"/>
            </w14:solidFill>
          </w14:textFill>
        </w:rPr>
        <w:t>发布相关事项公告，</w:t>
      </w:r>
      <w:r>
        <w:rPr>
          <w:rFonts w:hint="eastAsia" w:ascii="宋体" w:hAnsi="宋体" w:cs="宋体"/>
          <w:bCs/>
          <w:color w:val="000000" w:themeColor="text1"/>
          <w:sz w:val="24"/>
          <w:highlight w:val="none"/>
          <w:lang w:val="en-US" w:eastAsia="zh-CN"/>
          <w14:textFill>
            <w14:solidFill>
              <w14:schemeClr w14:val="tx1"/>
            </w14:solidFill>
          </w14:textFill>
        </w:rPr>
        <w:t>说明运用相关措施的原因、拟采取的应对安排等；</w:t>
      </w:r>
      <w:r>
        <w:rPr>
          <w:rFonts w:hint="eastAsia" w:ascii="宋体" w:hAnsi="宋体" w:cs="宋体"/>
          <w:bCs/>
          <w:color w:val="000000" w:themeColor="text1"/>
          <w:sz w:val="24"/>
          <w:highlight w:val="none"/>
          <w:lang w:eastAsia="zh-CN"/>
          <w14:textFill>
            <w14:solidFill>
              <w14:schemeClr w14:val="tx1"/>
            </w14:solidFill>
          </w14:textFill>
        </w:rPr>
        <w:t>应在发生可能对理财计划投资者或者理财计划收益产</w:t>
      </w:r>
      <w:r>
        <w:rPr>
          <w:rFonts w:hint="eastAsia" w:ascii="宋体" w:hAnsi="宋体" w:cs="宋体"/>
          <w:bCs/>
          <w:color w:val="000000" w:themeColor="text1"/>
          <w:sz w:val="24"/>
          <w:highlight w:val="none"/>
          <w14:textFill>
            <w14:solidFill>
              <w14:schemeClr w14:val="tx1"/>
            </w14:solidFill>
          </w14:textFill>
        </w:rPr>
        <w:t>生重大事项的事件后2个工作日内发布重大事项公告。</w:t>
      </w:r>
    </w:p>
    <w:p>
      <w:pPr>
        <w:numPr>
          <w:ilvl w:val="0"/>
          <w:numId w:val="54"/>
        </w:numPr>
        <w:spacing w:line="360" w:lineRule="auto"/>
        <w:ind w:firstLine="480" w:firstLineChars="200"/>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临时公告：管理人应当及时披露除重大事项以外的其他信息，包括但不限于理财计划终止、更</w:t>
      </w:r>
      <w:r>
        <w:rPr>
          <w:rFonts w:hint="eastAsia" w:ascii="宋体" w:hAnsi="宋体" w:cs="宋体"/>
          <w:bCs/>
          <w:color w:val="000000" w:themeColor="text1"/>
          <w:sz w:val="24"/>
          <w:highlight w:val="none"/>
          <w:lang w:eastAsia="zh-CN"/>
          <w14:textFill>
            <w14:solidFill>
              <w14:schemeClr w14:val="tx1"/>
            </w14:solidFill>
          </w14:textFill>
        </w:rPr>
        <w:t>换</w:t>
      </w:r>
      <w:r>
        <w:rPr>
          <w:rFonts w:hint="eastAsia" w:ascii="宋体" w:hAnsi="宋体" w:cs="宋体"/>
          <w:bCs/>
          <w:color w:val="000000" w:themeColor="text1"/>
          <w:sz w:val="24"/>
          <w:highlight w:val="none"/>
          <w14:textFill>
            <w14:solidFill>
              <w14:schemeClr w14:val="tx1"/>
            </w14:solidFill>
          </w14:textFill>
        </w:rPr>
        <w:t>理财计划管理人和托管人、涉及理财计划管理业务的重大诉讼、涉及费率相关事项的变动、理财计划延期兑付等。</w:t>
      </w:r>
    </w:p>
    <w:p>
      <w:pPr>
        <w:numPr>
          <w:ilvl w:val="0"/>
          <w:numId w:val="50"/>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披露方式</w:t>
      </w:r>
    </w:p>
    <w:p>
      <w:p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color w:val="000000" w:themeColor="text1"/>
          <w:sz w:val="24"/>
          <w:highlight w:val="none"/>
          <w14:textFill>
            <w14:solidFill>
              <w14:schemeClr w14:val="tx1"/>
            </w14:solidFill>
          </w14:textFill>
        </w:rPr>
      </w:pPr>
    </w:p>
    <w:p>
      <w:pPr>
        <w:numPr>
          <w:ilvl w:val="0"/>
          <w:numId w:val="22"/>
        </w:numPr>
        <w:spacing w:line="360" w:lineRule="auto"/>
        <w:ind w:firstLine="482" w:firstLineChars="200"/>
        <w:jc w:val="left"/>
        <w:outlineLvl w:val="1"/>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其他</w:t>
      </w:r>
    </w:p>
    <w:p>
      <w:pPr>
        <w:numPr>
          <w:ilvl w:val="0"/>
          <w:numId w:val="5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追索条款</w:t>
      </w:r>
    </w:p>
    <w:p>
      <w:pPr>
        <w:spacing w:line="360" w:lineRule="auto"/>
        <w:ind w:firstLine="480" w:firstLineChars="200"/>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若本理财计划所投资的金融资产到期不能全部偿付导致资产减值甚至本金大幅损失，则本公司将以管理人名义，代表投资者利益行使诉讼权利或者实施其他法律行为。</w:t>
      </w:r>
    </w:p>
    <w:p>
      <w:pPr>
        <w:numPr>
          <w:ilvl w:val="0"/>
          <w:numId w:val="5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信息安全</w:t>
      </w:r>
    </w:p>
    <w:p>
      <w:pPr>
        <w:spacing w:line="360" w:lineRule="auto"/>
        <w:ind w:firstLine="480" w:firstLineChars="200"/>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themeColor="text1"/>
          <w:sz w:val="24"/>
          <w:highlight w:val="none"/>
          <w14:textFill>
            <w14:solidFill>
              <w14:schemeClr w14:val="tx1"/>
            </w14:solidFill>
          </w14:textFill>
        </w:rPr>
        <w:t>投资者在此同意并授权，管理人可根据监管要求，为理财计划登记等需要，向登记部门或监管机构提供投资者相关信息</w:t>
      </w:r>
      <w:r>
        <w:rPr>
          <w:rFonts w:hint="eastAsia" w:ascii="宋体" w:hAnsi="宋体" w:cs="宋体"/>
          <w:b/>
          <w:bCs w:val="0"/>
          <w:color w:val="000000" w:themeColor="text1"/>
          <w:sz w:val="24"/>
          <w:highlight w:val="none"/>
          <w:lang w:eastAsia="zh-CN"/>
          <w14:textFill>
            <w14:solidFill>
              <w14:schemeClr w14:val="tx1"/>
            </w14:solidFill>
          </w14:textFill>
        </w:rPr>
        <w:t>，</w:t>
      </w:r>
      <w:r>
        <w:rPr>
          <w:rFonts w:hint="eastAsia" w:ascii="宋体" w:hAnsi="宋体" w:cs="宋体"/>
          <w:b/>
          <w:bCs w:val="0"/>
          <w:color w:val="000000" w:themeColor="text1"/>
          <w:sz w:val="24"/>
          <w:highlight w:val="none"/>
          <w:lang w:val="en-US" w:eastAsia="zh-CN"/>
          <w14:textFill>
            <w14:solidFill>
              <w14:schemeClr w14:val="tx1"/>
            </w14:solidFill>
          </w14:textFill>
        </w:rPr>
        <w:t>授权使用时限与履行相关法律法规和监管要求的必要时限一致</w:t>
      </w:r>
      <w:r>
        <w:rPr>
          <w:rFonts w:hint="eastAsia" w:ascii="宋体" w:hAnsi="宋体" w:cs="宋体"/>
          <w:b/>
          <w:bCs w:val="0"/>
          <w:color w:val="000000" w:themeColor="text1"/>
          <w:sz w:val="24"/>
          <w:highlight w:val="none"/>
          <w14:textFill>
            <w14:solidFill>
              <w14:schemeClr w14:val="tx1"/>
            </w14:solidFill>
          </w14:textFill>
        </w:rPr>
        <w:t>。</w:t>
      </w:r>
    </w:p>
    <w:p>
      <w:pPr>
        <w:numPr>
          <w:ilvl w:val="0"/>
          <w:numId w:val="5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争议解决</w:t>
      </w:r>
    </w:p>
    <w:p>
      <w:p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themeColor="text1"/>
          <w:sz w:val="24"/>
          <w:highlight w:val="none"/>
          <w:lang w:val="en-US" w:eastAsia="zh-CN"/>
          <w14:textFill>
            <w14:solidFill>
              <w14:schemeClr w14:val="tx1"/>
            </w14:solidFill>
          </w14:textFill>
        </w:rPr>
        <w:t>被告人</w:t>
      </w:r>
      <w:r>
        <w:rPr>
          <w:rFonts w:hint="eastAsia" w:ascii="宋体" w:hAnsi="宋体" w:cs="宋体"/>
          <w:bCs/>
          <w:color w:val="000000" w:themeColor="text1"/>
          <w:sz w:val="24"/>
          <w:highlight w:val="none"/>
          <w14:textFill>
            <w14:solidFill>
              <w14:schemeClr w14:val="tx1"/>
            </w14:solidFill>
          </w14:textFill>
        </w:rPr>
        <w:t>所在地有管辖权的人民法院诉讼解决。</w:t>
      </w:r>
    </w:p>
    <w:p>
      <w:pPr>
        <w:numPr>
          <w:ilvl w:val="0"/>
          <w:numId w:val="55"/>
        </w:numPr>
        <w:spacing w:line="360" w:lineRule="auto"/>
        <w:ind w:firstLine="482" w:firstLineChars="200"/>
        <w:jc w:val="left"/>
        <w:outlineLvl w:val="2"/>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特别提示</w:t>
      </w:r>
    </w:p>
    <w:p>
      <w:pPr>
        <w:spacing w:line="360" w:lineRule="auto"/>
        <w:ind w:firstLine="482" w:firstLineChars="200"/>
        <w:rPr>
          <w:rFonts w:hint="eastAsia"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spacing w:line="360" w:lineRule="auto"/>
        <w:rPr>
          <w:rFonts w:ascii="宋体" w:hAnsi="宋体" w:cs="宋体"/>
          <w:bCs/>
          <w:color w:val="000000" w:themeColor="text1"/>
          <w:sz w:val="24"/>
          <w:highlight w:val="none"/>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Inj1Y+wAQAA&#10;TgMAAA4AAAAAAAAAAQAgAAAAHgEAAGRycy9lMm9Eb2MueG1sUEsFBgAAAAAGAAYAWQEAAEAFAAAA&#10;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left"/>
      <w:rPr>
        <w:rFonts w:hint="default" w:eastAsia="宋体"/>
        <w:b/>
        <w:bCs/>
        <w:lang w:val="en-US" w:eastAsia="zh-CN"/>
      </w:rPr>
    </w:pP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-585470</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102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25"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b/>
        <w:bCs/>
        <w:color w:val="auto"/>
        <w:lang w:eastAsia="zh-CN"/>
      </w:rPr>
      <w:t>理财非存款</w:t>
    </w:r>
    <w:r>
      <w:rPr>
        <w:rFonts w:hint="eastAsia"/>
        <w:b/>
        <w:bCs/>
        <w:color w:val="auto"/>
        <w:lang w:val="en-US" w:eastAsia="zh-CN"/>
      </w:rPr>
      <w:t xml:space="preserve"> 产品有风险 投资须谨慎</w:t>
    </w:r>
    <w:r>
      <w:rPr>
        <w:rFonts w:hint="eastAsia"/>
        <w:b/>
        <w:bCs/>
        <w:color w:val="FF0000"/>
        <w:lang w:val="en-US" w:eastAsia="zh-CN"/>
      </w:rPr>
      <w:t xml:space="preserve">  </w:t>
    </w:r>
    <w:r>
      <w:rPr>
        <w:rFonts w:hint="eastAsia"/>
        <w:b/>
        <w:bCs/>
        <w:color w:val="auto"/>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879860"/>
    <w:multiLevelType w:val="singleLevel"/>
    <w:tmpl w:val="81879860"/>
    <w:lvl w:ilvl="0" w:tentative="0">
      <w:start w:val="8"/>
      <w:numFmt w:val="decimal"/>
      <w:suff w:val="nothing"/>
      <w:lvlText w:val="%1．"/>
      <w:lvlJc w:val="left"/>
      <w:pPr>
        <w:ind w:left="0" w:firstLine="403"/>
      </w:pPr>
      <w:rPr>
        <w:rFonts w:hint="default"/>
      </w:rPr>
    </w:lvl>
  </w:abstractNum>
  <w:abstractNum w:abstractNumId="1">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2">
    <w:nsid w:val="85460E80"/>
    <w:multiLevelType w:val="singleLevel"/>
    <w:tmpl w:val="85460E80"/>
    <w:lvl w:ilvl="0" w:tentative="0">
      <w:start w:val="1"/>
      <w:numFmt w:val="decimal"/>
      <w:suff w:val="nothing"/>
      <w:lvlText w:val="（%1）"/>
      <w:lvlJc w:val="left"/>
      <w:rPr>
        <w:rFonts w:hint="default"/>
        <w:b w:val="0"/>
        <w:bCs w:val="0"/>
      </w:rPr>
    </w:lvl>
  </w:abstractNum>
  <w:abstractNum w:abstractNumId="3">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4">
    <w:nsid w:val="8906C252"/>
    <w:multiLevelType w:val="singleLevel"/>
    <w:tmpl w:val="8906C252"/>
    <w:lvl w:ilvl="0" w:tentative="0">
      <w:start w:val="1"/>
      <w:numFmt w:val="decimal"/>
      <w:suff w:val="nothing"/>
      <w:lvlText w:val="（%1）"/>
      <w:lvlJc w:val="left"/>
      <w:rPr>
        <w:rFonts w:hint="default"/>
        <w:b w:val="0"/>
        <w:bCs w:val="0"/>
      </w:rPr>
    </w:lvl>
  </w:abstractNum>
  <w:abstractNum w:abstractNumId="5">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6">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7">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8">
    <w:nsid w:val="8D2AB5FD"/>
    <w:multiLevelType w:val="singleLevel"/>
    <w:tmpl w:val="8D2AB5FD"/>
    <w:lvl w:ilvl="0" w:tentative="0">
      <w:start w:val="1"/>
      <w:numFmt w:val="chineseCounting"/>
      <w:suff w:val="nothing"/>
      <w:lvlText w:val="（%1）"/>
      <w:lvlJc w:val="left"/>
      <w:pPr>
        <w:ind w:left="0" w:firstLine="420"/>
      </w:pPr>
      <w:rPr>
        <w:rFonts w:hint="eastAsia"/>
        <w:highlight w:val="none"/>
      </w:rPr>
    </w:lvl>
  </w:abstractNum>
  <w:abstractNum w:abstractNumId="9">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10">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11">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2">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3">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4">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5">
    <w:nsid w:val="B74CE87F"/>
    <w:multiLevelType w:val="singleLevel"/>
    <w:tmpl w:val="B74CE87F"/>
    <w:lvl w:ilvl="0" w:tentative="0">
      <w:start w:val="1"/>
      <w:numFmt w:val="decimal"/>
      <w:suff w:val="nothing"/>
      <w:lvlText w:val="%1．"/>
      <w:lvlJc w:val="left"/>
      <w:pPr>
        <w:ind w:left="0" w:firstLine="400"/>
      </w:pPr>
      <w:rPr>
        <w:rFonts w:hint="default"/>
      </w:rPr>
    </w:lvl>
  </w:abstractNum>
  <w:abstractNum w:abstractNumId="16">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7">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8">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9">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20">
    <w:nsid w:val="D86C2766"/>
    <w:multiLevelType w:val="singleLevel"/>
    <w:tmpl w:val="D86C2766"/>
    <w:lvl w:ilvl="0" w:tentative="0">
      <w:start w:val="5"/>
      <w:numFmt w:val="decimal"/>
      <w:suff w:val="nothing"/>
      <w:lvlText w:val="%1．"/>
      <w:lvlJc w:val="left"/>
      <w:pPr>
        <w:ind w:left="0" w:firstLine="403"/>
      </w:pPr>
      <w:rPr>
        <w:rFonts w:hint="default"/>
      </w:rPr>
    </w:lvl>
  </w:abstractNum>
  <w:abstractNum w:abstractNumId="21">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22">
    <w:nsid w:val="D8D75090"/>
    <w:multiLevelType w:val="singleLevel"/>
    <w:tmpl w:val="D8D75090"/>
    <w:lvl w:ilvl="0" w:tentative="0">
      <w:start w:val="1"/>
      <w:numFmt w:val="decimal"/>
      <w:suff w:val="nothing"/>
      <w:lvlText w:val="（%1）"/>
      <w:lvlJc w:val="left"/>
      <w:rPr>
        <w:rFonts w:hint="default"/>
        <w:b w:val="0"/>
        <w:bCs w:val="0"/>
      </w:rPr>
    </w:lvl>
  </w:abstractNum>
  <w:abstractNum w:abstractNumId="23">
    <w:nsid w:val="DD2251DF"/>
    <w:multiLevelType w:val="singleLevel"/>
    <w:tmpl w:val="DD2251DF"/>
    <w:lvl w:ilvl="0" w:tentative="0">
      <w:start w:val="1"/>
      <w:numFmt w:val="decimal"/>
      <w:suff w:val="nothing"/>
      <w:lvlText w:val="（%1）"/>
      <w:lvlJc w:val="left"/>
      <w:rPr>
        <w:rFonts w:hint="default"/>
        <w:b w:val="0"/>
        <w:bCs w:val="0"/>
      </w:rPr>
    </w:lvl>
  </w:abstractNum>
  <w:abstractNum w:abstractNumId="24">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5">
    <w:nsid w:val="E70DF796"/>
    <w:multiLevelType w:val="singleLevel"/>
    <w:tmpl w:val="E70DF796"/>
    <w:lvl w:ilvl="0" w:tentative="0">
      <w:start w:val="1"/>
      <w:numFmt w:val="decimal"/>
      <w:suff w:val="nothing"/>
      <w:lvlText w:val="（%1）"/>
      <w:lvlJc w:val="left"/>
    </w:lvl>
  </w:abstractNum>
  <w:abstractNum w:abstractNumId="26">
    <w:nsid w:val="EFF37F09"/>
    <w:multiLevelType w:val="singleLevel"/>
    <w:tmpl w:val="EFF37F09"/>
    <w:lvl w:ilvl="0" w:tentative="0">
      <w:start w:val="1"/>
      <w:numFmt w:val="decimal"/>
      <w:suff w:val="nothing"/>
      <w:lvlText w:val="（%1）"/>
      <w:lvlJc w:val="left"/>
      <w:rPr>
        <w:rFonts w:hint="default"/>
        <w:b w:val="0"/>
        <w:bCs w:val="0"/>
      </w:rPr>
    </w:lvl>
  </w:abstractNum>
  <w:abstractNum w:abstractNumId="27">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8">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9">
    <w:nsid w:val="F44DF26E"/>
    <w:multiLevelType w:val="singleLevel"/>
    <w:tmpl w:val="F44DF26E"/>
    <w:lvl w:ilvl="0" w:tentative="0">
      <w:start w:val="1"/>
      <w:numFmt w:val="decimal"/>
      <w:suff w:val="nothing"/>
      <w:lvlText w:val="%1．"/>
      <w:lvlJc w:val="left"/>
      <w:pPr>
        <w:ind w:left="0" w:firstLine="400"/>
      </w:pPr>
      <w:rPr>
        <w:rFonts w:hint="default"/>
      </w:rPr>
    </w:lvl>
  </w:abstractNum>
  <w:abstractNum w:abstractNumId="30">
    <w:nsid w:val="F574F5B6"/>
    <w:multiLevelType w:val="singleLevel"/>
    <w:tmpl w:val="F574F5B6"/>
    <w:lvl w:ilvl="0" w:tentative="0">
      <w:start w:val="1"/>
      <w:numFmt w:val="decimal"/>
      <w:suff w:val="nothing"/>
      <w:lvlText w:val="（%1）"/>
      <w:lvlJc w:val="left"/>
    </w:lvl>
  </w:abstractNum>
  <w:abstractNum w:abstractNumId="31">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32">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33">
    <w:nsid w:val="084A6179"/>
    <w:multiLevelType w:val="singleLevel"/>
    <w:tmpl w:val="084A6179"/>
    <w:lvl w:ilvl="0" w:tentative="0">
      <w:start w:val="1"/>
      <w:numFmt w:val="decimal"/>
      <w:suff w:val="nothing"/>
      <w:lvlText w:val="（%1）"/>
      <w:lvlJc w:val="left"/>
      <w:rPr>
        <w:rFonts w:hint="default"/>
        <w:highlight w:val="none"/>
      </w:rPr>
    </w:lvl>
  </w:abstractNum>
  <w:abstractNum w:abstractNumId="34">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35">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6">
    <w:nsid w:val="167B0BB4"/>
    <w:multiLevelType w:val="singleLevel"/>
    <w:tmpl w:val="167B0BB4"/>
    <w:lvl w:ilvl="0" w:tentative="0">
      <w:start w:val="1"/>
      <w:numFmt w:val="decimal"/>
      <w:suff w:val="nothing"/>
      <w:lvlText w:val="（%1）"/>
      <w:lvlJc w:val="left"/>
    </w:lvl>
  </w:abstractNum>
  <w:abstractNum w:abstractNumId="37">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highlight w:val="none"/>
      </w:rPr>
    </w:lvl>
  </w:abstractNum>
  <w:abstractNum w:abstractNumId="38">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9">
    <w:nsid w:val="2A987C4E"/>
    <w:multiLevelType w:val="singleLevel"/>
    <w:tmpl w:val="2A987C4E"/>
    <w:lvl w:ilvl="0" w:tentative="0">
      <w:start w:val="5"/>
      <w:numFmt w:val="decimal"/>
      <w:suff w:val="nothing"/>
      <w:lvlText w:val="%1．"/>
      <w:lvlJc w:val="left"/>
      <w:pPr>
        <w:ind w:left="0" w:firstLine="403"/>
      </w:pPr>
      <w:rPr>
        <w:rFonts w:hint="default"/>
      </w:rPr>
    </w:lvl>
  </w:abstractNum>
  <w:abstractNum w:abstractNumId="40">
    <w:nsid w:val="2CB63BE6"/>
    <w:multiLevelType w:val="singleLevel"/>
    <w:tmpl w:val="2CB63BE6"/>
    <w:lvl w:ilvl="0" w:tentative="0">
      <w:start w:val="1"/>
      <w:numFmt w:val="decimal"/>
      <w:suff w:val="nothing"/>
      <w:lvlText w:val="（%1）"/>
      <w:lvlJc w:val="left"/>
      <w:rPr>
        <w:rFonts w:hint="default"/>
        <w:b w:val="0"/>
        <w:bCs w:val="0"/>
      </w:rPr>
    </w:lvl>
  </w:abstractNum>
  <w:abstractNum w:abstractNumId="41">
    <w:nsid w:val="3775F290"/>
    <w:multiLevelType w:val="singleLevel"/>
    <w:tmpl w:val="3775F290"/>
    <w:lvl w:ilvl="0" w:tentative="0">
      <w:start w:val="7"/>
      <w:numFmt w:val="decimal"/>
      <w:suff w:val="nothing"/>
      <w:lvlText w:val="%1．"/>
      <w:lvlJc w:val="left"/>
      <w:pPr>
        <w:ind w:left="0" w:firstLine="403"/>
      </w:pPr>
      <w:rPr>
        <w:rFonts w:hint="default"/>
      </w:rPr>
    </w:lvl>
  </w:abstractNum>
  <w:abstractNum w:abstractNumId="42">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43">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44">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45">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46">
    <w:nsid w:val="4A032168"/>
    <w:multiLevelType w:val="singleLevel"/>
    <w:tmpl w:val="4A032168"/>
    <w:lvl w:ilvl="0" w:tentative="0">
      <w:start w:val="4"/>
      <w:numFmt w:val="decimal"/>
      <w:suff w:val="nothing"/>
      <w:lvlText w:val="%1．"/>
      <w:lvlJc w:val="left"/>
      <w:pPr>
        <w:ind w:left="0" w:firstLine="403"/>
      </w:pPr>
      <w:rPr>
        <w:rFonts w:hint="default"/>
        <w:highlight w:val="none"/>
      </w:rPr>
    </w:lvl>
  </w:abstractNum>
  <w:abstractNum w:abstractNumId="4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4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4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5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51">
    <w:nsid w:val="5BA91325"/>
    <w:multiLevelType w:val="singleLevel"/>
    <w:tmpl w:val="5BA91325"/>
    <w:lvl w:ilvl="0" w:tentative="0">
      <w:start w:val="1"/>
      <w:numFmt w:val="decimal"/>
      <w:suff w:val="nothing"/>
      <w:lvlText w:val="（%1）"/>
      <w:lvlJc w:val="left"/>
    </w:lvl>
  </w:abstractNum>
  <w:abstractNum w:abstractNumId="52">
    <w:nsid w:val="61F30F62"/>
    <w:multiLevelType w:val="singleLevel"/>
    <w:tmpl w:val="61F30F62"/>
    <w:lvl w:ilvl="0" w:tentative="0">
      <w:start w:val="1"/>
      <w:numFmt w:val="decimal"/>
      <w:suff w:val="nothing"/>
      <w:lvlText w:val="（%1）"/>
      <w:lvlJc w:val="left"/>
      <w:rPr>
        <w:rFonts w:hint="default"/>
        <w:b w:val="0"/>
        <w:bCs w:val="0"/>
      </w:rPr>
    </w:lvl>
  </w:abstractNum>
  <w:abstractNum w:abstractNumId="53">
    <w:nsid w:val="69C07A9C"/>
    <w:multiLevelType w:val="singleLevel"/>
    <w:tmpl w:val="69C07A9C"/>
    <w:lvl w:ilvl="0" w:tentative="0">
      <w:start w:val="1"/>
      <w:numFmt w:val="lowerLetter"/>
      <w:suff w:val="space"/>
      <w:lvlText w:val="%1."/>
      <w:lvlJc w:val="left"/>
    </w:lvl>
  </w:abstractNum>
  <w:abstractNum w:abstractNumId="54">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49"/>
  </w:num>
  <w:num w:numId="2">
    <w:abstractNumId w:val="45"/>
  </w:num>
  <w:num w:numId="3">
    <w:abstractNumId w:val="31"/>
  </w:num>
  <w:num w:numId="4">
    <w:abstractNumId w:val="28"/>
  </w:num>
  <w:num w:numId="5">
    <w:abstractNumId w:val="34"/>
  </w:num>
  <w:num w:numId="6">
    <w:abstractNumId w:val="27"/>
  </w:num>
  <w:num w:numId="7">
    <w:abstractNumId w:val="19"/>
  </w:num>
  <w:num w:numId="8">
    <w:abstractNumId w:val="12"/>
  </w:num>
  <w:num w:numId="9">
    <w:abstractNumId w:val="16"/>
  </w:num>
  <w:num w:numId="10">
    <w:abstractNumId w:val="9"/>
  </w:num>
  <w:num w:numId="11">
    <w:abstractNumId w:val="10"/>
  </w:num>
  <w:num w:numId="12">
    <w:abstractNumId w:val="8"/>
  </w:num>
  <w:num w:numId="13">
    <w:abstractNumId w:val="6"/>
  </w:num>
  <w:num w:numId="14">
    <w:abstractNumId w:val="1"/>
  </w:num>
  <w:num w:numId="15">
    <w:abstractNumId w:val="44"/>
  </w:num>
  <w:num w:numId="16">
    <w:abstractNumId w:val="30"/>
  </w:num>
  <w:num w:numId="17">
    <w:abstractNumId w:val="46"/>
  </w:num>
  <w:num w:numId="18">
    <w:abstractNumId w:val="51"/>
  </w:num>
  <w:num w:numId="19">
    <w:abstractNumId w:val="53"/>
  </w:num>
  <w:num w:numId="20">
    <w:abstractNumId w:val="39"/>
  </w:num>
  <w:num w:numId="21">
    <w:abstractNumId w:val="18"/>
  </w:num>
  <w:num w:numId="22">
    <w:abstractNumId w:val="38"/>
  </w:num>
  <w:num w:numId="23">
    <w:abstractNumId w:val="21"/>
  </w:num>
  <w:num w:numId="24">
    <w:abstractNumId w:val="7"/>
  </w:num>
  <w:num w:numId="25">
    <w:abstractNumId w:val="48"/>
  </w:num>
  <w:num w:numId="26">
    <w:abstractNumId w:val="5"/>
  </w:num>
  <w:num w:numId="27">
    <w:abstractNumId w:val="33"/>
  </w:num>
  <w:num w:numId="28">
    <w:abstractNumId w:val="37"/>
  </w:num>
  <w:num w:numId="29">
    <w:abstractNumId w:val="54"/>
  </w:num>
  <w:num w:numId="30">
    <w:abstractNumId w:val="32"/>
  </w:num>
  <w:num w:numId="31">
    <w:abstractNumId w:val="20"/>
  </w:num>
  <w:num w:numId="32">
    <w:abstractNumId w:val="41"/>
  </w:num>
  <w:num w:numId="33">
    <w:abstractNumId w:val="0"/>
  </w:num>
  <w:num w:numId="34">
    <w:abstractNumId w:val="23"/>
  </w:num>
  <w:num w:numId="35">
    <w:abstractNumId w:val="43"/>
  </w:num>
  <w:num w:numId="36">
    <w:abstractNumId w:val="3"/>
  </w:num>
  <w:num w:numId="37">
    <w:abstractNumId w:val="24"/>
  </w:num>
  <w:num w:numId="38">
    <w:abstractNumId w:val="15"/>
  </w:num>
  <w:num w:numId="39">
    <w:abstractNumId w:val="47"/>
  </w:num>
  <w:num w:numId="40">
    <w:abstractNumId w:val="35"/>
  </w:num>
  <w:num w:numId="41">
    <w:abstractNumId w:val="17"/>
  </w:num>
  <w:num w:numId="42">
    <w:abstractNumId w:val="29"/>
  </w:num>
  <w:num w:numId="43">
    <w:abstractNumId w:val="25"/>
  </w:num>
  <w:num w:numId="44">
    <w:abstractNumId w:val="26"/>
  </w:num>
  <w:num w:numId="45">
    <w:abstractNumId w:val="52"/>
  </w:num>
  <w:num w:numId="46">
    <w:abstractNumId w:val="40"/>
  </w:num>
  <w:num w:numId="47">
    <w:abstractNumId w:val="2"/>
  </w:num>
  <w:num w:numId="48">
    <w:abstractNumId w:val="50"/>
  </w:num>
  <w:num w:numId="49">
    <w:abstractNumId w:val="13"/>
  </w:num>
  <w:num w:numId="50">
    <w:abstractNumId w:val="11"/>
  </w:num>
  <w:num w:numId="51">
    <w:abstractNumId w:val="14"/>
  </w:num>
  <w:num w:numId="52">
    <w:abstractNumId w:val="36"/>
  </w:num>
  <w:num w:numId="53">
    <w:abstractNumId w:val="22"/>
  </w:num>
  <w:num w:numId="54">
    <w:abstractNumId w:val="4"/>
  </w:num>
  <w:num w:numId="5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ab8c09fc-ebb4-4f15-b49e-3b6144cc8e86"/>
  </w:docVars>
  <w:rsids>
    <w:rsidRoot w:val="00172A27"/>
    <w:rsid w:val="004A3A51"/>
    <w:rsid w:val="01364432"/>
    <w:rsid w:val="01523B8E"/>
    <w:rsid w:val="01DC0FD1"/>
    <w:rsid w:val="01E60817"/>
    <w:rsid w:val="01F454C1"/>
    <w:rsid w:val="026069C2"/>
    <w:rsid w:val="036B5FEB"/>
    <w:rsid w:val="040B79D9"/>
    <w:rsid w:val="0449537A"/>
    <w:rsid w:val="04886CA1"/>
    <w:rsid w:val="04A52A8E"/>
    <w:rsid w:val="04A74955"/>
    <w:rsid w:val="050A18A0"/>
    <w:rsid w:val="05C21734"/>
    <w:rsid w:val="05E05E4D"/>
    <w:rsid w:val="05EC08FE"/>
    <w:rsid w:val="06420CFA"/>
    <w:rsid w:val="06503B59"/>
    <w:rsid w:val="06DF6F6A"/>
    <w:rsid w:val="0752555A"/>
    <w:rsid w:val="07993F2A"/>
    <w:rsid w:val="07E45984"/>
    <w:rsid w:val="081B7D56"/>
    <w:rsid w:val="0828699A"/>
    <w:rsid w:val="082B58DC"/>
    <w:rsid w:val="082E46BF"/>
    <w:rsid w:val="087B5F6E"/>
    <w:rsid w:val="08E37254"/>
    <w:rsid w:val="097E3F67"/>
    <w:rsid w:val="09851159"/>
    <w:rsid w:val="09B01B43"/>
    <w:rsid w:val="0A1347F5"/>
    <w:rsid w:val="0A2A32B9"/>
    <w:rsid w:val="0B8E27E3"/>
    <w:rsid w:val="0BF71AE2"/>
    <w:rsid w:val="0CA6603D"/>
    <w:rsid w:val="0D0B1B00"/>
    <w:rsid w:val="0D6B1503"/>
    <w:rsid w:val="0DD032F9"/>
    <w:rsid w:val="0E4A4B6F"/>
    <w:rsid w:val="0E670397"/>
    <w:rsid w:val="0EAE473F"/>
    <w:rsid w:val="0EB6095A"/>
    <w:rsid w:val="0EF65480"/>
    <w:rsid w:val="0F920B86"/>
    <w:rsid w:val="103A21BC"/>
    <w:rsid w:val="10D261C8"/>
    <w:rsid w:val="10E7087B"/>
    <w:rsid w:val="10FA5463"/>
    <w:rsid w:val="11BA058F"/>
    <w:rsid w:val="11C23A9E"/>
    <w:rsid w:val="12081858"/>
    <w:rsid w:val="12B62B3B"/>
    <w:rsid w:val="13031153"/>
    <w:rsid w:val="13181417"/>
    <w:rsid w:val="141530E1"/>
    <w:rsid w:val="142A3D0A"/>
    <w:rsid w:val="14C57FED"/>
    <w:rsid w:val="150C5665"/>
    <w:rsid w:val="153D4CD7"/>
    <w:rsid w:val="159302CA"/>
    <w:rsid w:val="15C56302"/>
    <w:rsid w:val="15D419A2"/>
    <w:rsid w:val="160940BB"/>
    <w:rsid w:val="1659752C"/>
    <w:rsid w:val="16E43A7F"/>
    <w:rsid w:val="172E32B3"/>
    <w:rsid w:val="185A3DA1"/>
    <w:rsid w:val="18E6578A"/>
    <w:rsid w:val="18F22962"/>
    <w:rsid w:val="190E0A8A"/>
    <w:rsid w:val="196411E6"/>
    <w:rsid w:val="19866890"/>
    <w:rsid w:val="198C4B50"/>
    <w:rsid w:val="19DA666D"/>
    <w:rsid w:val="19F13F4F"/>
    <w:rsid w:val="1A102675"/>
    <w:rsid w:val="1A876B8B"/>
    <w:rsid w:val="1B280245"/>
    <w:rsid w:val="1BBE4697"/>
    <w:rsid w:val="1BEE4FD6"/>
    <w:rsid w:val="1C3F1BB8"/>
    <w:rsid w:val="1C46238A"/>
    <w:rsid w:val="1D3C4AE8"/>
    <w:rsid w:val="1D552DD9"/>
    <w:rsid w:val="1DAB6D83"/>
    <w:rsid w:val="1DBC5EB1"/>
    <w:rsid w:val="1E3173A3"/>
    <w:rsid w:val="1E410106"/>
    <w:rsid w:val="1E7432BB"/>
    <w:rsid w:val="1ED938B7"/>
    <w:rsid w:val="1F0F5A19"/>
    <w:rsid w:val="1F1D6E1F"/>
    <w:rsid w:val="1F3E7F7D"/>
    <w:rsid w:val="1F51312D"/>
    <w:rsid w:val="1FA140B4"/>
    <w:rsid w:val="1FC9553A"/>
    <w:rsid w:val="20137C57"/>
    <w:rsid w:val="204D3B12"/>
    <w:rsid w:val="205A2AB3"/>
    <w:rsid w:val="20B6224D"/>
    <w:rsid w:val="21025026"/>
    <w:rsid w:val="21B93623"/>
    <w:rsid w:val="21C22F06"/>
    <w:rsid w:val="22A04AF7"/>
    <w:rsid w:val="22D32481"/>
    <w:rsid w:val="22D3594B"/>
    <w:rsid w:val="22F12819"/>
    <w:rsid w:val="23393314"/>
    <w:rsid w:val="23753F06"/>
    <w:rsid w:val="238D2456"/>
    <w:rsid w:val="238E1AAE"/>
    <w:rsid w:val="240F2156"/>
    <w:rsid w:val="24345B9A"/>
    <w:rsid w:val="2483647E"/>
    <w:rsid w:val="256F076F"/>
    <w:rsid w:val="2610340F"/>
    <w:rsid w:val="26820AF7"/>
    <w:rsid w:val="26966D40"/>
    <w:rsid w:val="27677E19"/>
    <w:rsid w:val="292668E3"/>
    <w:rsid w:val="29E26197"/>
    <w:rsid w:val="2A1B5D68"/>
    <w:rsid w:val="2A5975B6"/>
    <w:rsid w:val="2A991D32"/>
    <w:rsid w:val="2AB92324"/>
    <w:rsid w:val="2AD6555A"/>
    <w:rsid w:val="2AE62718"/>
    <w:rsid w:val="2B1902F3"/>
    <w:rsid w:val="2B376BE0"/>
    <w:rsid w:val="2BE72798"/>
    <w:rsid w:val="2C1A577E"/>
    <w:rsid w:val="2C1B1E9D"/>
    <w:rsid w:val="2CAB68C5"/>
    <w:rsid w:val="2E45409C"/>
    <w:rsid w:val="2EBC6D03"/>
    <w:rsid w:val="2F1F666C"/>
    <w:rsid w:val="2F59643F"/>
    <w:rsid w:val="2F802D62"/>
    <w:rsid w:val="2FD32A37"/>
    <w:rsid w:val="2FE9188B"/>
    <w:rsid w:val="30551FFC"/>
    <w:rsid w:val="307D2E0A"/>
    <w:rsid w:val="30E93DB6"/>
    <w:rsid w:val="311F702A"/>
    <w:rsid w:val="314968B6"/>
    <w:rsid w:val="31A82883"/>
    <w:rsid w:val="320E3E15"/>
    <w:rsid w:val="32C937E9"/>
    <w:rsid w:val="32D571CA"/>
    <w:rsid w:val="333F6AA7"/>
    <w:rsid w:val="33F7523E"/>
    <w:rsid w:val="3480359E"/>
    <w:rsid w:val="34BE4ED5"/>
    <w:rsid w:val="352B31D6"/>
    <w:rsid w:val="35476F5E"/>
    <w:rsid w:val="35C572EB"/>
    <w:rsid w:val="3602513D"/>
    <w:rsid w:val="36631FD8"/>
    <w:rsid w:val="366A0F47"/>
    <w:rsid w:val="36E72D9B"/>
    <w:rsid w:val="377E5373"/>
    <w:rsid w:val="379F2ED6"/>
    <w:rsid w:val="37CA172C"/>
    <w:rsid w:val="37CB10A0"/>
    <w:rsid w:val="38071350"/>
    <w:rsid w:val="38224FD0"/>
    <w:rsid w:val="38696564"/>
    <w:rsid w:val="38BC5508"/>
    <w:rsid w:val="3A3E2041"/>
    <w:rsid w:val="3A521E69"/>
    <w:rsid w:val="3B131EF6"/>
    <w:rsid w:val="3B490D86"/>
    <w:rsid w:val="3C2F2290"/>
    <w:rsid w:val="3CE74578"/>
    <w:rsid w:val="3D8434FB"/>
    <w:rsid w:val="3E163924"/>
    <w:rsid w:val="3EA57A21"/>
    <w:rsid w:val="3EA67C14"/>
    <w:rsid w:val="3EAD1B36"/>
    <w:rsid w:val="3F056B9E"/>
    <w:rsid w:val="3F354A62"/>
    <w:rsid w:val="3FF54C55"/>
    <w:rsid w:val="40067AC8"/>
    <w:rsid w:val="406370BC"/>
    <w:rsid w:val="40FB7670"/>
    <w:rsid w:val="41B60000"/>
    <w:rsid w:val="423C06E2"/>
    <w:rsid w:val="42815397"/>
    <w:rsid w:val="42C94634"/>
    <w:rsid w:val="43423D19"/>
    <w:rsid w:val="43B62261"/>
    <w:rsid w:val="43BA23DE"/>
    <w:rsid w:val="45540446"/>
    <w:rsid w:val="45BB5620"/>
    <w:rsid w:val="45F127ED"/>
    <w:rsid w:val="46263D02"/>
    <w:rsid w:val="46CD66A0"/>
    <w:rsid w:val="46D80EF6"/>
    <w:rsid w:val="472803B7"/>
    <w:rsid w:val="488B59A4"/>
    <w:rsid w:val="494502E1"/>
    <w:rsid w:val="4A3D69E6"/>
    <w:rsid w:val="4A6F7B99"/>
    <w:rsid w:val="4A7F0ADF"/>
    <w:rsid w:val="4AA612F0"/>
    <w:rsid w:val="4B0D3113"/>
    <w:rsid w:val="4B5270B8"/>
    <w:rsid w:val="4C43202F"/>
    <w:rsid w:val="4C4D2C94"/>
    <w:rsid w:val="4C6B0DDA"/>
    <w:rsid w:val="4C6E1306"/>
    <w:rsid w:val="4CAB7CC1"/>
    <w:rsid w:val="4DEE1021"/>
    <w:rsid w:val="4E186164"/>
    <w:rsid w:val="4E2F1033"/>
    <w:rsid w:val="4E8274B0"/>
    <w:rsid w:val="4E8C0674"/>
    <w:rsid w:val="4EFC1B31"/>
    <w:rsid w:val="4F2836A5"/>
    <w:rsid w:val="4FF363B3"/>
    <w:rsid w:val="501216FC"/>
    <w:rsid w:val="50B73634"/>
    <w:rsid w:val="513B62C0"/>
    <w:rsid w:val="51504FE6"/>
    <w:rsid w:val="53111AD8"/>
    <w:rsid w:val="532207FA"/>
    <w:rsid w:val="53FE3DB0"/>
    <w:rsid w:val="54E91D9C"/>
    <w:rsid w:val="552247DE"/>
    <w:rsid w:val="55A47BB4"/>
    <w:rsid w:val="55D11632"/>
    <w:rsid w:val="55E92585"/>
    <w:rsid w:val="56216A6F"/>
    <w:rsid w:val="56804A86"/>
    <w:rsid w:val="57184991"/>
    <w:rsid w:val="5790790A"/>
    <w:rsid w:val="57BB6218"/>
    <w:rsid w:val="57FF3AAA"/>
    <w:rsid w:val="58DD2EEE"/>
    <w:rsid w:val="58E96C7A"/>
    <w:rsid w:val="598B0B6B"/>
    <w:rsid w:val="59AD3C67"/>
    <w:rsid w:val="59CC6D6F"/>
    <w:rsid w:val="5A1A1165"/>
    <w:rsid w:val="5ABA33EB"/>
    <w:rsid w:val="5B0D630F"/>
    <w:rsid w:val="5B5D608F"/>
    <w:rsid w:val="5C33703B"/>
    <w:rsid w:val="5C3C3DDC"/>
    <w:rsid w:val="5D160516"/>
    <w:rsid w:val="5D7D0F36"/>
    <w:rsid w:val="5DB61BFF"/>
    <w:rsid w:val="5DEF454B"/>
    <w:rsid w:val="5E5A6C63"/>
    <w:rsid w:val="5F3C6712"/>
    <w:rsid w:val="5F4B58F3"/>
    <w:rsid w:val="6053481F"/>
    <w:rsid w:val="606E0DED"/>
    <w:rsid w:val="60716FC0"/>
    <w:rsid w:val="60AB2000"/>
    <w:rsid w:val="610129B1"/>
    <w:rsid w:val="612D6938"/>
    <w:rsid w:val="61D7419E"/>
    <w:rsid w:val="61D85325"/>
    <w:rsid w:val="62860AAA"/>
    <w:rsid w:val="628B7CEE"/>
    <w:rsid w:val="629D5796"/>
    <w:rsid w:val="62C476E5"/>
    <w:rsid w:val="657A160B"/>
    <w:rsid w:val="66BE050C"/>
    <w:rsid w:val="66DD4F9F"/>
    <w:rsid w:val="67182835"/>
    <w:rsid w:val="671E2162"/>
    <w:rsid w:val="678438DB"/>
    <w:rsid w:val="67CD5EA6"/>
    <w:rsid w:val="686B34D1"/>
    <w:rsid w:val="68D8721E"/>
    <w:rsid w:val="6A455E4A"/>
    <w:rsid w:val="6A79436D"/>
    <w:rsid w:val="6B3A5BD0"/>
    <w:rsid w:val="6B3C7023"/>
    <w:rsid w:val="6B610D05"/>
    <w:rsid w:val="6BAC21D5"/>
    <w:rsid w:val="6C1D42E9"/>
    <w:rsid w:val="6C3E5296"/>
    <w:rsid w:val="6C952DF1"/>
    <w:rsid w:val="6CED1CB3"/>
    <w:rsid w:val="6D201CAE"/>
    <w:rsid w:val="6D3B42C3"/>
    <w:rsid w:val="6DDE0D10"/>
    <w:rsid w:val="6E082488"/>
    <w:rsid w:val="6E201147"/>
    <w:rsid w:val="6E5969DC"/>
    <w:rsid w:val="6E7B6A0F"/>
    <w:rsid w:val="6E7E575F"/>
    <w:rsid w:val="6EF15941"/>
    <w:rsid w:val="6F9921A1"/>
    <w:rsid w:val="6FB83EF3"/>
    <w:rsid w:val="717F4370"/>
    <w:rsid w:val="73407EBD"/>
    <w:rsid w:val="73EF4563"/>
    <w:rsid w:val="74175679"/>
    <w:rsid w:val="742F0C48"/>
    <w:rsid w:val="744124AA"/>
    <w:rsid w:val="74664F47"/>
    <w:rsid w:val="7468660B"/>
    <w:rsid w:val="75032B80"/>
    <w:rsid w:val="77DC27D8"/>
    <w:rsid w:val="77E0572E"/>
    <w:rsid w:val="77ED4104"/>
    <w:rsid w:val="789508C5"/>
    <w:rsid w:val="78EF4372"/>
    <w:rsid w:val="79771B00"/>
    <w:rsid w:val="7980282D"/>
    <w:rsid w:val="798F6426"/>
    <w:rsid w:val="79E60E88"/>
    <w:rsid w:val="7A367C5D"/>
    <w:rsid w:val="7A450BCE"/>
    <w:rsid w:val="7A5520F1"/>
    <w:rsid w:val="7ACA272A"/>
    <w:rsid w:val="7B0E7C70"/>
    <w:rsid w:val="7B2F5D22"/>
    <w:rsid w:val="7B695499"/>
    <w:rsid w:val="7C8B1B8E"/>
    <w:rsid w:val="7CBE6536"/>
    <w:rsid w:val="7D4A0F3E"/>
    <w:rsid w:val="7E6F339A"/>
    <w:rsid w:val="7E810662"/>
    <w:rsid w:val="7F590AE3"/>
    <w:rsid w:val="7FC44D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4"/>
      <w:szCs w:val="24"/>
      <w:lang w:val="en-US" w:eastAsia="zh-CN" w:bidi="ar-SA"/>
    </w:rPr>
  </w:style>
  <w:style w:type="paragraph" w:styleId="2">
    <w:name w:val="heading 1"/>
    <w:basedOn w:val="1"/>
    <w:next w:val="1"/>
    <w:link w:val="19"/>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paragraph" w:styleId="3">
    <w:name w:val="heading 2"/>
    <w:basedOn w:val="1"/>
    <w:next w:val="1"/>
    <w:link w:val="21"/>
    <w:unhideWhenUsed/>
    <w:qFormat/>
    <w:uiPriority w:val="0"/>
    <w:pPr>
      <w:keepNext/>
      <w:keepLines/>
      <w:spacing w:before="20" w:beforeLines="0" w:beforeAutospacing="0" w:after="20" w:afterLines="0" w:afterAutospacing="0" w:line="240" w:lineRule="auto"/>
      <w:outlineLvl w:val="1"/>
    </w:pPr>
    <w:rPr>
      <w:rFonts w:ascii="Arial" w:hAnsi="Arial" w:eastAsia="宋体"/>
      <w:b/>
      <w:sz w:val="24"/>
    </w:rPr>
  </w:style>
  <w:style w:type="paragraph" w:styleId="4">
    <w:name w:val="heading 3"/>
    <w:basedOn w:val="1"/>
    <w:next w:val="1"/>
    <w:link w:val="23"/>
    <w:unhideWhenUsed/>
    <w:qFormat/>
    <w:uiPriority w:val="0"/>
    <w:pPr>
      <w:keepNext/>
      <w:keepLines/>
      <w:spacing w:before="20" w:beforeLines="0" w:beforeAutospacing="0" w:after="20" w:afterLines="0" w:afterAutospacing="0" w:line="360" w:lineRule="auto"/>
      <w:outlineLvl w:val="2"/>
    </w:pPr>
    <w:rPr>
      <w:rFonts w:hAnsi="Calibri" w:eastAsia="宋体"/>
      <w:b/>
      <w:sz w:val="24"/>
    </w:rPr>
  </w:style>
  <w:style w:type="character" w:default="1" w:styleId="13">
    <w:name w:val="Default Paragraph Font"/>
    <w:semiHidden/>
    <w:qFormat/>
    <w:uiPriority w:val="0"/>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link w:val="24"/>
    <w:qFormat/>
    <w:uiPriority w:val="0"/>
    <w:pPr>
      <w:jc w:val="left"/>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annotation subject"/>
    <w:basedOn w:val="5"/>
    <w:next w:val="5"/>
    <w:link w:val="22"/>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paragraph" w:customStyle="1" w:styleId="16">
    <w:name w:val="样式1"/>
    <w:basedOn w:val="1"/>
    <w:next w:val="1"/>
    <w:qFormat/>
    <w:uiPriority w:val="0"/>
    <w:pPr>
      <w:keepNext/>
      <w:keepLines/>
      <w:spacing w:before="340" w:beforeLines="0" w:after="330" w:afterLines="0" w:line="576" w:lineRule="auto"/>
      <w:outlineLvl w:val="0"/>
    </w:pPr>
    <w:rPr>
      <w:rFonts w:hint="eastAsia"/>
      <w:b/>
      <w:kern w:val="44"/>
      <w:sz w:val="44"/>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List Paragraph"/>
    <w:basedOn w:val="1"/>
    <w:unhideWhenUsed/>
    <w:qFormat/>
    <w:uiPriority w:val="99"/>
    <w:pPr>
      <w:ind w:firstLine="420" w:firstLineChars="200"/>
    </w:pPr>
  </w:style>
  <w:style w:type="character" w:customStyle="1" w:styleId="19">
    <w:name w:val="标题 1 Char"/>
    <w:link w:val="2"/>
    <w:qFormat/>
    <w:uiPriority w:val="0"/>
    <w:rPr>
      <w:rFonts w:eastAsia="宋体"/>
      <w:b/>
      <w:kern w:val="44"/>
      <w:sz w:val="44"/>
    </w:rPr>
  </w:style>
  <w:style w:type="character" w:customStyle="1" w:styleId="20">
    <w:name w:val="批注框文本 Char"/>
    <w:link w:val="6"/>
    <w:qFormat/>
    <w:uiPriority w:val="0"/>
    <w:rPr>
      <w:rFonts w:ascii="Calibri" w:hAnsi="Calibri" w:cs="黑体"/>
      <w:kern w:val="2"/>
      <w:sz w:val="18"/>
      <w:szCs w:val="18"/>
    </w:rPr>
  </w:style>
  <w:style w:type="character" w:customStyle="1" w:styleId="21">
    <w:name w:val="标题 2 Char"/>
    <w:link w:val="3"/>
    <w:qFormat/>
    <w:uiPriority w:val="0"/>
    <w:rPr>
      <w:rFonts w:ascii="Arial" w:hAnsi="Arial" w:eastAsia="宋体"/>
      <w:b/>
      <w:sz w:val="24"/>
    </w:rPr>
  </w:style>
  <w:style w:type="character" w:customStyle="1" w:styleId="22">
    <w:name w:val="批注主题 Char"/>
    <w:link w:val="10"/>
    <w:qFormat/>
    <w:uiPriority w:val="0"/>
    <w:rPr>
      <w:rFonts w:ascii="Calibri" w:hAnsi="Calibri" w:cs="黑体"/>
      <w:b/>
      <w:bCs/>
      <w:kern w:val="2"/>
      <w:sz w:val="21"/>
      <w:szCs w:val="24"/>
    </w:rPr>
  </w:style>
  <w:style w:type="character" w:customStyle="1" w:styleId="23">
    <w:name w:val="标题 3 Char"/>
    <w:link w:val="4"/>
    <w:qFormat/>
    <w:uiPriority w:val="0"/>
    <w:rPr>
      <w:rFonts w:hAnsi="Calibri" w:eastAsia="宋体"/>
      <w:b/>
      <w:sz w:val="24"/>
    </w:rPr>
  </w:style>
  <w:style w:type="character" w:customStyle="1" w:styleId="24">
    <w:name w:val="批注文字 Char"/>
    <w:link w:val="5"/>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35688</Words>
  <Characters>37367</Characters>
  <Lines>210</Lines>
  <Paragraphs>59</Paragraphs>
  <TotalTime>5</TotalTime>
  <ScaleCrop>false</ScaleCrop>
  <LinksUpToDate>false</LinksUpToDate>
  <CharactersWithSpaces>37606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hccb</cp:lastModifiedBy>
  <dcterms:modified xsi:type="dcterms:W3CDTF">2025-06-09T01:24:54Z</dcterms:modified>
  <dc:title>杭银理财幸福99XXXX理财计划合同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06A49D61929F4201B4ADB8DA4C945300</vt:lpwstr>
  </property>
</Properties>
</file>