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13"/>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bookmarkStart w:id="0" w:name="_Toc123701383"/>
      <w:bookmarkStart w:id="1" w:name="_Toc123112224"/>
      <w:bookmarkStart w:id="2" w:name="_Toc139991726"/>
      <w:bookmarkStart w:id="3" w:name="_Toc123112263"/>
      <w:bookmarkStart w:id="4" w:name="_Toc139992301"/>
      <w:r>
        <w:rPr>
          <w:rStyle w:val="11"/>
          <w:rFonts w:hint="eastAsia" w:ascii="宋体" w:hAnsi="宋体"/>
          <w:sz w:val="28"/>
          <w:szCs w:val="28"/>
        </w:rPr>
        <w:t>理财产品管理人：</w:t>
      </w:r>
      <w:bookmarkEnd w:id="0"/>
      <w:bookmarkEnd w:id="1"/>
      <w:bookmarkEnd w:id="2"/>
      <w:bookmarkEnd w:id="3"/>
      <w:bookmarkEnd w:id="4"/>
      <w:r>
        <w:rPr>
          <w:rStyle w:val="11"/>
          <w:rFonts w:hint="eastAsia" w:ascii="宋体" w:hAnsi="宋体"/>
          <w:sz w:val="28"/>
          <w:szCs w:val="28"/>
        </w:rPr>
        <w:t>兴银理财有限责任公司</w:t>
      </w:r>
    </w:p>
    <w:p>
      <w:pPr>
        <w:adjustRightInd w:val="0"/>
        <w:spacing w:line="360" w:lineRule="auto"/>
        <w:jc w:val="center"/>
        <w:rPr>
          <w:rStyle w:val="11"/>
          <w:rFonts w:ascii="黑体" w:hAnsi="黑体" w:eastAsia="黑体" w:cs="宋体"/>
          <w:sz w:val="28"/>
          <w:szCs w:val="28"/>
        </w:rPr>
      </w:pPr>
      <w:bookmarkStart w:id="5" w:name="_Toc139991727"/>
      <w:bookmarkStart w:id="6" w:name="_Toc123701384"/>
      <w:bookmarkStart w:id="7" w:name="_Toc123112264"/>
      <w:bookmarkStart w:id="8" w:name="_Toc123112225"/>
      <w:bookmarkStart w:id="9" w:name="_Toc139992302"/>
    </w:p>
    <w:bookmarkEnd w:id="5"/>
    <w:bookmarkEnd w:id="6"/>
    <w:bookmarkEnd w:id="7"/>
    <w:bookmarkEnd w:id="8"/>
    <w:bookmarkEnd w:id="9"/>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Style w:val="11"/>
          <w:rFonts w:hint="eastAsia" w:ascii="宋体" w:hAnsi="宋体"/>
          <w:sz w:val="28"/>
          <w:szCs w:val="28"/>
        </w:rPr>
        <w:t>【202</w:t>
      </w:r>
      <w:r>
        <w:rPr>
          <w:rStyle w:val="11"/>
          <w:rFonts w:ascii="宋体" w:hAnsi="宋体"/>
          <w:sz w:val="28"/>
          <w:szCs w:val="28"/>
        </w:rPr>
        <w:t>4</w:t>
      </w:r>
      <w:r>
        <w:rPr>
          <w:rStyle w:val="11"/>
          <w:rFonts w:hint="eastAsia" w:ascii="宋体" w:hAnsi="宋体"/>
          <w:sz w:val="28"/>
          <w:szCs w:val="28"/>
        </w:rPr>
        <w:t>】年【</w:t>
      </w:r>
      <w:r>
        <w:rPr>
          <w:rStyle w:val="11"/>
          <w:rFonts w:ascii="宋体" w:hAnsi="宋体"/>
          <w:sz w:val="28"/>
          <w:szCs w:val="28"/>
        </w:rPr>
        <w:t>10</w:t>
      </w:r>
      <w:r>
        <w:rPr>
          <w:rStyle w:val="11"/>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39991729"/>
      <w:bookmarkStart w:id="12" w:name="_Toc123112266"/>
      <w:bookmarkStart w:id="13" w:name="_Toc123701386"/>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兴银理财添利9号</w:t>
            </w:r>
            <w:r>
              <w:rPr>
                <w:rFonts w:asciiTheme="minorEastAsia" w:hAnsiTheme="minorEastAsia"/>
                <w:sz w:val="18"/>
                <w:szCs w:val="18"/>
              </w:rPr>
              <w:t>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【兴银添利9号颐养款（中老年专属）】（适用【</w:t>
            </w:r>
            <w:r>
              <w:rPr>
                <w:rFonts w:ascii="宋体" w:hAnsi="宋体"/>
                <w:bCs/>
                <w:sz w:val="18"/>
                <w:szCs w:val="18"/>
              </w:rPr>
              <w:t>R</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20" w:lineRule="exact"/>
              <w:jc w:val="left"/>
              <w:rPr>
                <w:rFonts w:ascii="宋体" w:hAnsi="宋体"/>
                <w:bCs/>
                <w:sz w:val="18"/>
                <w:szCs w:val="18"/>
              </w:rPr>
            </w:pPr>
            <w:r>
              <w:rPr>
                <w:rFonts w:hint="eastAsia" w:ascii="宋体" w:hAnsi="宋体"/>
                <w:bCs/>
                <w:sz w:val="18"/>
                <w:szCs w:val="18"/>
              </w:rPr>
              <w:t>【</w:t>
            </w:r>
            <w:r>
              <w:rPr>
                <w:rFonts w:asciiTheme="minorEastAsia" w:hAnsiTheme="minorEastAsia"/>
                <w:bCs/>
                <w:sz w:val="18"/>
                <w:szCs w:val="18"/>
              </w:rPr>
              <w:t>Z7002020000173</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9B310005</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9B310175</w:t>
            </w:r>
            <w:r>
              <w:rPr>
                <w:rFonts w:hint="eastAsia" w:ascii="宋体" w:hAnsi="宋体"/>
                <w:bCs/>
                <w:sz w:val="18"/>
                <w:szCs w:val="18"/>
              </w:rPr>
              <w:t>】（适用【</w:t>
            </w:r>
            <w:r>
              <w:rPr>
                <w:rFonts w:ascii="宋体" w:hAnsi="宋体"/>
                <w:bCs/>
                <w:sz w:val="18"/>
                <w:szCs w:val="18"/>
              </w:rPr>
              <w:t>R</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"_Toc79653758" </w:instrText>
          </w:r>
          <w:r>
            <w:fldChar w:fldCharType="separate"/>
          </w:r>
          <w:r>
            <w:rPr>
              <w:rStyle w:val="12"/>
              <w:rFonts w:hint="eastAsia"/>
            </w:rPr>
            <w:t>第一条</w:t>
          </w:r>
          <w:r>
            <w:rPr>
              <w:rStyle w:val="12"/>
            </w:rPr>
            <w:t xml:space="preserve">  </w:t>
          </w:r>
          <w:r>
            <w:rPr>
              <w:rStyle w:val="12"/>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12"/>
              <w:rFonts w:hint="eastAsia"/>
            </w:rPr>
            <w:t>第二条</w:t>
          </w:r>
          <w:r>
            <w:rPr>
              <w:rStyle w:val="12"/>
            </w:rPr>
            <w:t xml:space="preserve">  </w:t>
          </w:r>
          <w:r>
            <w:rPr>
              <w:rStyle w:val="12"/>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12"/>
              <w:rFonts w:hint="eastAsia"/>
            </w:rPr>
            <w:t>第三条</w:t>
          </w:r>
          <w:r>
            <w:rPr>
              <w:rStyle w:val="12"/>
            </w:rPr>
            <w:t xml:space="preserve">  </w:t>
          </w:r>
          <w:r>
            <w:rPr>
              <w:rStyle w:val="12"/>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12"/>
              <w:rFonts w:hint="eastAsia"/>
            </w:rPr>
            <w:t>第四条</w:t>
          </w:r>
          <w:r>
            <w:rPr>
              <w:rStyle w:val="12"/>
            </w:rPr>
            <w:t xml:space="preserve">  </w:t>
          </w:r>
          <w:r>
            <w:rPr>
              <w:rStyle w:val="12"/>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12"/>
              <w:rFonts w:hint="eastAsia"/>
            </w:rPr>
            <w:t>第五条</w:t>
          </w:r>
          <w:r>
            <w:rPr>
              <w:rStyle w:val="12"/>
            </w:rPr>
            <w:t xml:space="preserve">  </w:t>
          </w:r>
          <w:r>
            <w:rPr>
              <w:rStyle w:val="12"/>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12"/>
              <w:rFonts w:hint="eastAsia"/>
            </w:rPr>
            <w:t>第六条</w:t>
          </w:r>
          <w:r>
            <w:rPr>
              <w:rStyle w:val="12"/>
            </w:rPr>
            <w:t xml:space="preserve">  </w:t>
          </w:r>
          <w:r>
            <w:rPr>
              <w:rStyle w:val="12"/>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12"/>
              <w:rFonts w:hint="eastAsia"/>
            </w:rPr>
            <w:t>第七条</w:t>
          </w:r>
          <w:r>
            <w:rPr>
              <w:rStyle w:val="12"/>
            </w:rPr>
            <w:t xml:space="preserve">  </w:t>
          </w:r>
          <w:r>
            <w:rPr>
              <w:rStyle w:val="12"/>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29629"/>
      <w:bookmarkStart w:id="16" w:name="_Toc123701389"/>
      <w:bookmarkStart w:id="17" w:name="_Toc139991730"/>
      <w:bookmarkStart w:id="18" w:name="_Toc23386"/>
      <w:bookmarkStart w:id="19" w:name="_Toc26897"/>
      <w:bookmarkStart w:id="20" w:name="_Toc141703880"/>
      <w:bookmarkStart w:id="21" w:name="_Toc15517"/>
      <w:bookmarkStart w:id="22" w:name="_Toc4867"/>
      <w:bookmarkStart w:id="23" w:name="_Toc4966"/>
      <w:bookmarkStart w:id="24" w:name="_Toc6306"/>
      <w:bookmarkStart w:id="25" w:name="_Toc123112268"/>
      <w:bookmarkStart w:id="26" w:name="_Toc8727"/>
      <w:bookmarkStart w:id="27" w:name="_Toc123112229"/>
      <w:bookmarkStart w:id="28" w:name="_Toc30935"/>
      <w:bookmarkStart w:id="29" w:name="_Toc79653758"/>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4860"/>
      <w:bookmarkStart w:id="34" w:name="_Toc2465"/>
      <w:bookmarkStart w:id="35" w:name="_Toc13020"/>
      <w:bookmarkStart w:id="36" w:name="_Toc3224"/>
      <w:bookmarkStart w:id="37" w:name="_Toc6617"/>
      <w:bookmarkStart w:id="38" w:name="_Toc22864"/>
      <w:bookmarkStart w:id="39" w:name="_Toc19592"/>
      <w:bookmarkStart w:id="40" w:name="_Toc21301"/>
      <w:bookmarkStart w:id="41" w:name="_Toc819"/>
      <w:bookmarkStart w:id="42" w:name="_Toc15067"/>
      <w:r>
        <w:rPr>
          <w:rFonts w:hint="eastAsia" w:ascii="Times New Roman"/>
          <w:color w:val="auto"/>
          <w:sz w:val="30"/>
        </w:rPr>
        <w:t>前言</w:t>
      </w:r>
      <w:bookmarkEnd w:id="29"/>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3" w:name="_Toc59965743"/>
      <w:r>
        <w:rPr>
          <w:rFonts w:hint="eastAsia" w:asciiTheme="majorEastAsia" w:hAnsiTheme="majorEastAsia" w:eastAsiaTheme="majorEastAsia"/>
          <w:bCs/>
          <w:color w:val="auto"/>
          <w:sz w:val="18"/>
          <w:szCs w:val="18"/>
        </w:rPr>
        <w:t>《商业银行理财子公司管理办法》</w:t>
      </w:r>
      <w:bookmarkEnd w:id="43"/>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15"/>
        <w:spacing w:line="360" w:lineRule="auto"/>
        <w:rPr>
          <w:rFonts w:asciiTheme="majorEastAsia" w:hAnsiTheme="majorEastAsia" w:eastAsiaTheme="majorEastAsia"/>
          <w:bCs/>
          <w:color w:val="auto"/>
          <w:sz w:val="18"/>
          <w:szCs w:val="18"/>
        </w:rPr>
      </w:pP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7965375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9653760"/>
      <w:bookmarkStart w:id="47" w:name="_Toc20627"/>
      <w:bookmarkStart w:id="48" w:name="_Toc24571"/>
      <w:bookmarkStart w:id="49" w:name="_Toc74065740"/>
      <w:bookmarkStart w:id="50" w:name="_Toc13288"/>
      <w:bookmarkStart w:id="51" w:name="_Toc6683"/>
      <w:bookmarkStart w:id="52" w:name="_Toc6149"/>
      <w:bookmarkStart w:id="53" w:name="_Toc733"/>
      <w:bookmarkStart w:id="54" w:name="_Toc22708"/>
      <w:bookmarkStart w:id="55" w:name="_Toc18631"/>
      <w:bookmarkStart w:id="56" w:name="_Toc545"/>
      <w:bookmarkStart w:id="57" w:name="_Toc20318"/>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7965376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79653762"/>
      <w:r>
        <w:rPr>
          <w:rFonts w:hint="eastAsia" w:ascii="Times New Roman"/>
          <w:color w:val="auto"/>
          <w:sz w:val="30"/>
        </w:rPr>
        <w:t>第五条</w:t>
      </w:r>
      <w:r>
        <w:rPr>
          <w:rFonts w:ascii="Times New Roman"/>
          <w:color w:val="auto"/>
          <w:sz w:val="30"/>
        </w:rPr>
        <w:t xml:space="preserve">  法律适用和争议解决</w:t>
      </w:r>
      <w:bookmarkEnd w:id="61"/>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7965376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9653764"/>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Style w:val="11"/>
          <w:rFonts w:hint="eastAsia" w:ascii="宋体" w:hAnsi="宋体" w:cs="Times New Roman"/>
          <w:sz w:val="32"/>
          <w:szCs w:val="32"/>
        </w:rPr>
        <w:t>【202</w:t>
      </w:r>
      <w:r>
        <w:rPr>
          <w:rStyle w:val="11"/>
          <w:rFonts w:ascii="宋体" w:hAnsi="宋体" w:cs="Times New Roman"/>
          <w:sz w:val="32"/>
          <w:szCs w:val="32"/>
        </w:rPr>
        <w:t>4</w:t>
      </w:r>
      <w:r>
        <w:rPr>
          <w:rStyle w:val="11"/>
          <w:rFonts w:hint="eastAsia" w:ascii="宋体" w:hAnsi="宋体" w:cs="Times New Roman"/>
          <w:sz w:val="32"/>
          <w:szCs w:val="32"/>
        </w:rPr>
        <w:t>】年【</w:t>
      </w:r>
      <w:r>
        <w:rPr>
          <w:rStyle w:val="11"/>
          <w:rFonts w:ascii="宋体" w:hAnsi="宋体" w:cs="Times New Roman"/>
          <w:sz w:val="32"/>
          <w:szCs w:val="32"/>
        </w:rPr>
        <w:t>10</w:t>
      </w:r>
      <w:r>
        <w:rPr>
          <w:rStyle w:val="11"/>
          <w:rFonts w:hint="eastAsia" w:ascii="宋体" w:hAnsi="宋体" w:cs="Times New Roman"/>
          <w:sz w:val="32"/>
          <w:szCs w:val="32"/>
        </w:rPr>
        <w:t>】月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bookmarkStart w:id="66" w:name="_Toc78276587"/>
          <w:r>
            <w:rPr>
              <w:lang w:val="zh-CN"/>
            </w:rPr>
            <w:t>目录</w:t>
          </w:r>
        </w:p>
        <w:p>
          <w:pPr>
            <w:pStyle w:val="5"/>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"_Toc180053232" </w:instrText>
          </w:r>
          <w:r>
            <w:fldChar w:fldCharType="separate"/>
          </w:r>
          <w:r>
            <w:rPr>
              <w:rStyle w:val="12"/>
              <w:rFonts w:hint="eastAsia" w:ascii="Times New Roman"/>
            </w:rPr>
            <w:t>第一条</w:t>
          </w:r>
          <w:r>
            <w:rPr>
              <w:rStyle w:val="12"/>
              <w:rFonts w:ascii="Times New Roman"/>
            </w:rPr>
            <w:t xml:space="preserve">  </w:t>
          </w:r>
          <w:r>
            <w:rPr>
              <w:rStyle w:val="12"/>
              <w:rFonts w:hint="eastAsia" w:ascii="Times New Roman"/>
            </w:rPr>
            <w:t>释义</w:t>
          </w:r>
          <w:r>
            <w:tab/>
          </w:r>
          <w:r>
            <w:fldChar w:fldCharType="begin"/>
          </w:r>
          <w:r>
            <w:instrText xml:space="preserve"> PAGEREF _Toc180053232 \h </w:instrText>
          </w:r>
          <w:r>
            <w:fldChar w:fldCharType="separate"/>
          </w:r>
          <w:r>
            <w:t>1</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"_Toc180053233" </w:instrText>
          </w:r>
          <w:r>
            <w:fldChar w:fldCharType="separate"/>
          </w:r>
          <w:r>
            <w:rPr>
              <w:rStyle w:val="12"/>
              <w:rFonts w:hint="eastAsia" w:hAnsi="宋体"/>
            </w:rPr>
            <w:t>第二条</w:t>
          </w:r>
          <w:r>
            <w:rPr>
              <w:rStyle w:val="12"/>
              <w:rFonts w:hAnsi="宋体"/>
            </w:rPr>
            <w:t xml:space="preserve">  </w:t>
          </w:r>
          <w:r>
            <w:rPr>
              <w:rStyle w:val="12"/>
              <w:rFonts w:hint="eastAsia" w:hAnsi="宋体"/>
            </w:rPr>
            <w:t>理财产品基本情况</w:t>
          </w:r>
          <w:r>
            <w:tab/>
          </w:r>
          <w:r>
            <w:fldChar w:fldCharType="begin"/>
          </w:r>
          <w:r>
            <w:instrText xml:space="preserve"> PAGEREF _Toc180053233 \h </w:instrText>
          </w:r>
          <w:r>
            <w:fldChar w:fldCharType="separate"/>
          </w:r>
          <w:r>
            <w:t>6</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"_Toc180053234" </w:instrText>
          </w:r>
          <w:r>
            <w:fldChar w:fldCharType="separate"/>
          </w:r>
          <w:r>
            <w:rPr>
              <w:rStyle w:val="12"/>
              <w:rFonts w:hint="eastAsia" w:ascii="Times New Roman"/>
            </w:rPr>
            <w:t>第三条</w:t>
          </w:r>
          <w:r>
            <w:rPr>
              <w:rStyle w:val="12"/>
              <w:rFonts w:ascii="Times New Roman"/>
            </w:rPr>
            <w:t xml:space="preserve">  </w:t>
          </w:r>
          <w:r>
            <w:rPr>
              <w:rStyle w:val="12"/>
              <w:rFonts w:hint="eastAsia" w:ascii="Times New Roman"/>
            </w:rPr>
            <w:t>理财产品的认购</w:t>
          </w:r>
          <w:r>
            <w:tab/>
          </w:r>
          <w:r>
            <w:fldChar w:fldCharType="begin"/>
          </w:r>
          <w:r>
            <w:instrText xml:space="preserve"> PAGEREF _Toc180053234 \h </w:instrText>
          </w:r>
          <w:r>
            <w:fldChar w:fldCharType="separate"/>
          </w:r>
          <w:r>
            <w:t>13</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"_Toc180053235" </w:instrText>
          </w:r>
          <w:r>
            <w:fldChar w:fldCharType="separate"/>
          </w:r>
          <w:r>
            <w:rPr>
              <w:rStyle w:val="12"/>
              <w:rFonts w:hint="eastAsia" w:ascii="Times New Roman"/>
            </w:rPr>
            <w:t>第四条</w:t>
          </w:r>
          <w:r>
            <w:rPr>
              <w:rStyle w:val="12"/>
              <w:rFonts w:ascii="Times New Roman"/>
            </w:rPr>
            <w:t xml:space="preserve">  </w:t>
          </w:r>
          <w:r>
            <w:rPr>
              <w:rStyle w:val="12"/>
              <w:rFonts w:hint="eastAsia" w:ascii="Times New Roman"/>
            </w:rPr>
            <w:t>理财产品的申购与赎回</w:t>
          </w:r>
          <w:r>
            <w:tab/>
          </w:r>
          <w:r>
            <w:fldChar w:fldCharType="begin"/>
          </w:r>
          <w:r>
            <w:instrText xml:space="preserve"> PAGEREF _Toc180053235 \h </w:instrText>
          </w:r>
          <w:r>
            <w:fldChar w:fldCharType="separate"/>
          </w:r>
          <w:r>
            <w:t>15</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"_Toc180053236" </w:instrText>
          </w:r>
          <w:r>
            <w:fldChar w:fldCharType="separate"/>
          </w:r>
          <w:r>
            <w:rPr>
              <w:rStyle w:val="12"/>
              <w:rFonts w:hint="eastAsia" w:ascii="Times New Roman"/>
            </w:rPr>
            <w:t>第五条</w:t>
          </w:r>
          <w:r>
            <w:rPr>
              <w:rStyle w:val="12"/>
              <w:rFonts w:ascii="Times New Roman"/>
            </w:rPr>
            <w:t xml:space="preserve">  </w:t>
          </w:r>
          <w:r>
            <w:rPr>
              <w:rStyle w:val="12"/>
              <w:rFonts w:hint="eastAsia" w:ascii="Times New Roman"/>
            </w:rPr>
            <w:t>理财产品的投资</w:t>
          </w:r>
          <w:r>
            <w:tab/>
          </w:r>
          <w:r>
            <w:fldChar w:fldCharType="begin"/>
          </w:r>
          <w:r>
            <w:instrText xml:space="preserve"> PAGEREF _Toc180053236 \h </w:instrText>
          </w:r>
          <w:r>
            <w:fldChar w:fldCharType="separate"/>
          </w:r>
          <w:r>
            <w:t>19</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"_Toc180053237" </w:instrText>
          </w:r>
          <w:r>
            <w:fldChar w:fldCharType="separate"/>
          </w:r>
          <w:r>
            <w:rPr>
              <w:rStyle w:val="12"/>
              <w:rFonts w:hint="eastAsia" w:ascii="Times New Roman"/>
            </w:rPr>
            <w:t>第六条</w:t>
          </w:r>
          <w:r>
            <w:rPr>
              <w:rStyle w:val="12"/>
              <w:rFonts w:ascii="Times New Roman"/>
            </w:rPr>
            <w:t xml:space="preserve">  </w:t>
          </w:r>
          <w:r>
            <w:rPr>
              <w:rStyle w:val="12"/>
              <w:rFonts w:hint="eastAsia" w:ascii="Times New Roman"/>
            </w:rPr>
            <w:t>理财产品的资产</w:t>
          </w:r>
          <w:r>
            <w:tab/>
          </w:r>
          <w:r>
            <w:fldChar w:fldCharType="begin"/>
          </w:r>
          <w:r>
            <w:instrText xml:space="preserve"> PAGEREF _Toc180053237 \h </w:instrText>
          </w:r>
          <w:r>
            <w:fldChar w:fldCharType="separate"/>
          </w:r>
          <w:r>
            <w:t>24</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"_Toc180053238" </w:instrText>
          </w:r>
          <w:r>
            <w:fldChar w:fldCharType="separate"/>
          </w:r>
          <w:r>
            <w:rPr>
              <w:rStyle w:val="12"/>
              <w:rFonts w:hint="eastAsia" w:ascii="Times New Roman"/>
            </w:rPr>
            <w:t>第七条</w:t>
          </w:r>
          <w:r>
            <w:rPr>
              <w:rStyle w:val="12"/>
              <w:rFonts w:ascii="Times New Roman"/>
            </w:rPr>
            <w:t xml:space="preserve">  </w:t>
          </w:r>
          <w:r>
            <w:rPr>
              <w:rStyle w:val="12"/>
              <w:rFonts w:hint="eastAsia" w:ascii="Times New Roman"/>
            </w:rPr>
            <w:t>理财产品项下资产的估值</w:t>
          </w:r>
          <w:r>
            <w:tab/>
          </w:r>
          <w:r>
            <w:fldChar w:fldCharType="begin"/>
          </w:r>
          <w:r>
            <w:instrText xml:space="preserve"> PAGEREF _Toc180053238 \h </w:instrText>
          </w:r>
          <w:r>
            <w:fldChar w:fldCharType="separate"/>
          </w:r>
          <w:r>
            <w:t>25</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"_Toc180053239" </w:instrText>
          </w:r>
          <w:r>
            <w:fldChar w:fldCharType="separate"/>
          </w:r>
          <w:r>
            <w:rPr>
              <w:rStyle w:val="12"/>
              <w:rFonts w:hint="eastAsia" w:ascii="Times New Roman"/>
            </w:rPr>
            <w:t>第八条</w:t>
          </w:r>
          <w:r>
            <w:rPr>
              <w:rStyle w:val="12"/>
              <w:rFonts w:ascii="Times New Roman"/>
            </w:rPr>
            <w:t xml:space="preserve">  </w:t>
          </w:r>
          <w:r>
            <w:rPr>
              <w:rStyle w:val="12"/>
              <w:rFonts w:hint="eastAsia" w:ascii="Times New Roman"/>
            </w:rPr>
            <w:t>理财产品的利益分配</w:t>
          </w:r>
          <w:r>
            <w:tab/>
          </w:r>
          <w:r>
            <w:fldChar w:fldCharType="begin"/>
          </w:r>
          <w:r>
            <w:instrText xml:space="preserve"> PAGEREF _Toc180053239 \h </w:instrText>
          </w:r>
          <w:r>
            <w:fldChar w:fldCharType="separate"/>
          </w:r>
          <w:r>
            <w:t>27</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"_Toc180053240" </w:instrText>
          </w:r>
          <w:r>
            <w:fldChar w:fldCharType="separate"/>
          </w:r>
          <w:r>
            <w:rPr>
              <w:rStyle w:val="12"/>
              <w:rFonts w:hint="eastAsia" w:ascii="Times New Roman"/>
            </w:rPr>
            <w:t>第九条</w:t>
          </w:r>
          <w:r>
            <w:rPr>
              <w:rStyle w:val="12"/>
              <w:rFonts w:ascii="Times New Roman"/>
            </w:rPr>
            <w:t xml:space="preserve">  </w:t>
          </w:r>
          <w:r>
            <w:rPr>
              <w:rStyle w:val="12"/>
              <w:rFonts w:hint="eastAsia" w:ascii="Times New Roman"/>
            </w:rPr>
            <w:t>理财产品的费用与税收</w:t>
          </w:r>
          <w:r>
            <w:tab/>
          </w:r>
          <w:r>
            <w:fldChar w:fldCharType="begin"/>
          </w:r>
          <w:r>
            <w:instrText xml:space="preserve"> PAGEREF _Toc180053240 \h </w:instrText>
          </w:r>
          <w:r>
            <w:fldChar w:fldCharType="separate"/>
          </w:r>
          <w:r>
            <w:t>29</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"_Toc180053241" </w:instrText>
          </w:r>
          <w:r>
            <w:fldChar w:fldCharType="separate"/>
          </w:r>
          <w:r>
            <w:rPr>
              <w:rStyle w:val="12"/>
              <w:rFonts w:hint="eastAsia"/>
            </w:rPr>
            <w:t>第十条</w:t>
          </w:r>
          <w:r>
            <w:rPr>
              <w:rStyle w:val="12"/>
            </w:rPr>
            <w:t xml:space="preserve">  </w:t>
          </w:r>
          <w:r>
            <w:rPr>
              <w:rStyle w:val="12"/>
              <w:rFonts w:hint="eastAsia"/>
            </w:rPr>
            <w:t>理财产品的终止与清算</w:t>
          </w:r>
          <w:r>
            <w:tab/>
          </w:r>
          <w:r>
            <w:fldChar w:fldCharType="begin"/>
          </w:r>
          <w:r>
            <w:instrText xml:space="preserve"> PAGEREF _Toc180053241 \h </w:instrText>
          </w:r>
          <w:r>
            <w:fldChar w:fldCharType="separate"/>
          </w:r>
          <w:r>
            <w:t>31</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"_Toc180053242" </w:instrText>
          </w:r>
          <w:r>
            <w:fldChar w:fldCharType="separate"/>
          </w:r>
          <w:r>
            <w:rPr>
              <w:rStyle w:val="12"/>
              <w:rFonts w:hint="eastAsia" w:ascii="Times New Roman"/>
            </w:rPr>
            <w:t>第十一条</w:t>
          </w:r>
          <w:r>
            <w:rPr>
              <w:rStyle w:val="12"/>
              <w:rFonts w:ascii="Times New Roman"/>
            </w:rPr>
            <w:t xml:space="preserve">  </w:t>
          </w:r>
          <w:r>
            <w:rPr>
              <w:rStyle w:val="12"/>
              <w:rFonts w:hint="eastAsia" w:ascii="Times New Roman"/>
            </w:rPr>
            <w:t>理财产品的信息披露</w:t>
          </w:r>
          <w:r>
            <w:tab/>
          </w:r>
          <w:r>
            <w:fldChar w:fldCharType="begin"/>
          </w:r>
          <w:r>
            <w:instrText xml:space="preserve"> PAGEREF _Toc180053242 \h </w:instrText>
          </w:r>
          <w:r>
            <w:fldChar w:fldCharType="separate"/>
          </w:r>
          <w:r>
            <w:t>33</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"_Toc180053243" </w:instrText>
          </w:r>
          <w:r>
            <w:fldChar w:fldCharType="separate"/>
          </w:r>
          <w:r>
            <w:rPr>
              <w:rStyle w:val="12"/>
              <w:rFonts w:hint="eastAsia" w:ascii="Times New Roman"/>
            </w:rPr>
            <w:t>第十二条</w:t>
          </w:r>
          <w:r>
            <w:rPr>
              <w:rStyle w:val="12"/>
              <w:rFonts w:ascii="Times New Roman"/>
            </w:rPr>
            <w:t xml:space="preserve">  </w:t>
          </w:r>
          <w:r>
            <w:rPr>
              <w:rStyle w:val="12"/>
              <w:rFonts w:hint="eastAsia" w:ascii="Times New Roman"/>
            </w:rPr>
            <w:t>理财产品的风险揭示</w:t>
          </w:r>
          <w:r>
            <w:tab/>
          </w:r>
          <w:r>
            <w:fldChar w:fldCharType="begin"/>
          </w:r>
          <w:r>
            <w:instrText xml:space="preserve"> PAGEREF _Toc180053243 \h </w:instrText>
          </w:r>
          <w:r>
            <w:fldChar w:fldCharType="separate"/>
          </w:r>
          <w:r>
            <w:t>36</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67" w:name="_Toc180053232"/>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8" w:name="_Toc180053233"/>
      <w:bookmarkStart w:id="69" w:name="_Toc79154665"/>
      <w:r>
        <w:rPr>
          <w:rFonts w:hint="eastAsia" w:hAnsi="宋体"/>
          <w:sz w:val="28"/>
          <w:szCs w:val="28"/>
        </w:rPr>
        <w:t>第二条  理财产品基本情况</w:t>
      </w:r>
      <w:bookmarkEnd w:id="68"/>
      <w:bookmarkEnd w:id="69"/>
      <w:r>
        <w:rPr>
          <w:rFonts w:hint="eastAsia" w:hAnsi="宋体"/>
          <w:sz w:val="28"/>
          <w:szCs w:val="28"/>
        </w:rPr>
        <w:t xml:space="preserve">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兴银理财添利9号</w:t>
            </w:r>
            <w:r>
              <w:rPr>
                <w:rFonts w:asciiTheme="minorEastAsia" w:hAnsiTheme="minorEastAsia"/>
                <w:sz w:val="18"/>
                <w:szCs w:val="18"/>
              </w:rPr>
              <w:t>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【兴银添利9号颐养款（中老年专属）】（适用【R】类份额）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20" w:lineRule="exact"/>
              <w:jc w:val="left"/>
              <w:rPr>
                <w:rFonts w:ascii="宋体" w:hAnsi="宋体"/>
                <w:bCs/>
                <w:sz w:val="18"/>
                <w:szCs w:val="18"/>
              </w:rPr>
            </w:pPr>
            <w:r>
              <w:rPr>
                <w:rFonts w:hint="eastAsia" w:ascii="宋体" w:hAnsi="宋体"/>
                <w:bCs/>
                <w:sz w:val="18"/>
                <w:szCs w:val="18"/>
              </w:rPr>
              <w:t>【</w:t>
            </w:r>
            <w:r>
              <w:rPr>
                <w:rFonts w:asciiTheme="minorEastAsia" w:hAnsiTheme="minorEastAsia"/>
                <w:bCs/>
                <w:sz w:val="18"/>
                <w:szCs w:val="18"/>
              </w:rPr>
              <w:t>Z7002020000173</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9B310005</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9B310175</w:t>
            </w:r>
            <w:r>
              <w:rPr>
                <w:rFonts w:hint="eastAsia" w:ascii="宋体" w:hAnsi="宋体"/>
                <w:bCs/>
                <w:sz w:val="18"/>
                <w:szCs w:val="18"/>
              </w:rPr>
              <w:t>】（适用【R】类份额）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【2020】年【</w:t>
            </w:r>
            <w:r>
              <w:rPr>
                <w:rFonts w:cs="Times New Roman" w:asciiTheme="minorEastAsia" w:hAnsiTheme="minorEastAsia"/>
                <w:sz w:val="18"/>
                <w:szCs w:val="18"/>
              </w:rPr>
              <w:t>10</w:t>
            </w:r>
            <w:r>
              <w:rPr>
                <w:rFonts w:hint="eastAsia" w:cs="Times New Roman" w:asciiTheme="minorEastAsia" w:hAnsiTheme="minorEastAsia"/>
                <w:sz w:val="18"/>
                <w:szCs w:val="18"/>
              </w:rPr>
              <w:t>】月【</w:t>
            </w:r>
            <w:r>
              <w:rPr>
                <w:rFonts w:cs="Times New Roman" w:asciiTheme="minorEastAsia" w:hAnsiTheme="minorEastAsia"/>
                <w:sz w:val="18"/>
                <w:szCs w:val="18"/>
              </w:rPr>
              <w:t>26</w:t>
            </w:r>
            <w:r>
              <w:rPr>
                <w:rFonts w:hint="eastAsia" w:cs="Times New Roman" w:asciiTheme="minorEastAsia" w:hAnsiTheme="minorEastAsia"/>
                <w:sz w:val="18"/>
                <w:szCs w:val="18"/>
              </w:rPr>
              <w:t>】日【</w:t>
            </w:r>
            <w:r>
              <w:rPr>
                <w:rFonts w:cs="Times New Roman" w:asciiTheme="minorEastAsia" w:hAnsiTheme="minorEastAsia"/>
                <w:sz w:val="18"/>
                <w:szCs w:val="18"/>
              </w:rPr>
              <w:t>8:30</w:t>
            </w:r>
            <w:r>
              <w:rPr>
                <w:rFonts w:hint="eastAsia" w:cs="Times New Roman" w:asciiTheme="minorEastAsia" w:hAnsiTheme="minorEastAsia"/>
                <w:sz w:val="18"/>
                <w:szCs w:val="18"/>
              </w:rPr>
              <w:t>】至【2020】年【</w:t>
            </w:r>
            <w:r>
              <w:rPr>
                <w:rFonts w:cs="Times New Roman" w:asciiTheme="minorEastAsia" w:hAnsiTheme="minorEastAsia"/>
                <w:sz w:val="18"/>
                <w:szCs w:val="18"/>
              </w:rPr>
              <w:t>10</w:t>
            </w:r>
            <w:r>
              <w:rPr>
                <w:rFonts w:hint="eastAsia" w:cs="Times New Roman" w:asciiTheme="minorEastAsia" w:hAnsiTheme="minorEastAsia"/>
                <w:sz w:val="18"/>
                <w:szCs w:val="18"/>
              </w:rPr>
              <w:t>】月【</w:t>
            </w:r>
            <w:r>
              <w:rPr>
                <w:rFonts w:cs="Times New Roman" w:asciiTheme="minorEastAsia" w:hAnsiTheme="minorEastAsia"/>
                <w:sz w:val="18"/>
                <w:szCs w:val="18"/>
              </w:rPr>
              <w:t>26</w:t>
            </w:r>
            <w:r>
              <w:rPr>
                <w:rFonts w:hint="eastAsia" w:cs="Times New Roman" w:asciiTheme="minorEastAsia" w:hAnsiTheme="minorEastAsia"/>
                <w:sz w:val="18"/>
                <w:szCs w:val="18"/>
              </w:rPr>
              <w:t>】日【15：30】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募集期内资金按照活期存款利息计息，认购期/募集期内的利息不计入认购本金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【2020】年【</w:t>
            </w:r>
            <w:r>
              <w:rPr>
                <w:rFonts w:cs="Times New Roman" w:asciiTheme="minorEastAsia" w:hAnsiTheme="minorEastAsia"/>
                <w:sz w:val="18"/>
                <w:szCs w:val="18"/>
              </w:rPr>
              <w:t>10</w:t>
            </w:r>
            <w:r>
              <w:rPr>
                <w:rFonts w:hint="eastAsia" w:cs="Times New Roman" w:asciiTheme="minorEastAsia" w:hAnsiTheme="minorEastAsia"/>
                <w:sz w:val="18"/>
                <w:szCs w:val="18"/>
              </w:rPr>
              <w:t>】月【</w:t>
            </w:r>
            <w:r>
              <w:rPr>
                <w:rFonts w:cs="Times New Roman" w:asciiTheme="minorEastAsia" w:hAnsiTheme="minorEastAsia"/>
                <w:sz w:val="18"/>
                <w:szCs w:val="18"/>
              </w:rPr>
              <w:t>27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【/】年【/】月【/】日至【/】年【/】月【/】日。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 xml:space="preserve">：00】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（适用【R】类份额）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15"/>
              <w:spacing w:line="360" w:lineRule="auto"/>
              <w:rPr>
                <w:rFonts w:asciiTheme="minorEastAsia" w:hAnsiTheme="minorEastAsia" w:eastAsiaTheme="minorEastAsia"/>
                <w:color w:val="auto"/>
                <w:sz w:val="18"/>
                <w:szCs w:val="18"/>
              </w:rPr>
            </w:pPr>
            <w:r>
              <w:rPr>
                <w:rFonts w:hint="eastAsia" w:hAnsi="宋体"/>
                <w:sz w:val="18"/>
                <w:szCs w:val="18"/>
              </w:rPr>
              <w:t>（适用【R】类份额）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bCs/>
                <w:color w:val="auto"/>
                <w:sz w:val="18"/>
                <w:szCs w:val="18"/>
              </w:rPr>
              <w:t>/</w:t>
            </w:r>
            <w:r>
              <w:rPr>
                <w:rFonts w:hint="eastAsia" w:asciiTheme="minorEastAsia" w:hAnsiTheme="minorEastAsia" w:eastAsiaTheme="minorEastAsia"/>
                <w:color w:val="auto"/>
                <w:sz w:val="18"/>
                <w:szCs w:val="18"/>
              </w:rPr>
              <w:t>】。如需突破上限，请与产品管理人或销售机构客户经理联系。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2位。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int="eastAsia" w:hAnsi="宋体"/>
                <w:sz w:val="18"/>
                <w:szCs w:val="18"/>
              </w:rPr>
              <w:t>（适用【R】类份额）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int="eastAsia" w:hAnsi="宋体"/>
                <w:sz w:val="18"/>
                <w:szCs w:val="18"/>
              </w:rPr>
              <w:t>（适用【R】类份额）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0" w:name="_Toc79154666"/>
      <w:bookmarkStart w:id="71" w:name="_Toc180053234"/>
      <w:r>
        <w:rPr>
          <w:rFonts w:ascii="Times New Roman"/>
          <w:sz w:val="30"/>
        </w:rPr>
        <w:t>第</w:t>
      </w:r>
      <w:r>
        <w:rPr>
          <w:rFonts w:hint="eastAsia" w:ascii="Times New Roman"/>
          <w:sz w:val="30"/>
        </w:rPr>
        <w:t>三条</w:t>
      </w:r>
      <w:r>
        <w:rPr>
          <w:rFonts w:ascii="Times New Roman"/>
          <w:sz w:val="30"/>
        </w:rPr>
        <w:t xml:space="preserve">  </w:t>
      </w:r>
      <w:bookmarkStart w:id="72" w:name="_Toc79392573"/>
      <w:r>
        <w:rPr>
          <w:rFonts w:hint="eastAsia" w:ascii="Times New Roman"/>
          <w:sz w:val="30"/>
        </w:rPr>
        <w:t>理财产品的认购</w:t>
      </w:r>
      <w:bookmarkEnd w:id="70"/>
      <w:bookmarkEnd w:id="71"/>
    </w:p>
    <w:p>
      <w:pPr>
        <w:spacing w:line="360" w:lineRule="auto"/>
        <w:ind w:firstLine="361" w:firstLineChars="200"/>
        <w:rPr>
          <w:rFonts w:asciiTheme="minorEastAsia" w:hAnsiTheme="minorEastAsia"/>
          <w:b/>
          <w:bCs/>
          <w:sz w:val="18"/>
          <w:szCs w:val="18"/>
        </w:rPr>
      </w:pPr>
      <w:bookmarkStart w:id="73" w:name="_Hlt88031774"/>
      <w:bookmarkEnd w:id="73"/>
      <w:bookmarkStart w:id="7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5" w:name="_Toc79154667"/>
      <w:bookmarkStart w:id="76" w:name="_Toc180053235"/>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5"/>
      <w:bookmarkEnd w:id="76"/>
    </w:p>
    <w:bookmarkEnd w:id="74"/>
    <w:p>
      <w:pPr>
        <w:spacing w:line="360" w:lineRule="auto"/>
        <w:ind w:firstLine="420" w:firstLineChars="200"/>
      </w:pP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2"/>
    <w:p>
      <w:pPr>
        <w:pStyle w:val="2"/>
        <w:spacing w:before="0" w:after="0" w:line="360" w:lineRule="auto"/>
        <w:jc w:val="center"/>
        <w:rPr>
          <w:rFonts w:ascii="Times New Roman"/>
          <w:sz w:val="30"/>
        </w:rPr>
      </w:pPr>
      <w:bookmarkStart w:id="77" w:name="_Toc3266"/>
      <w:bookmarkStart w:id="78" w:name="_Toc15203"/>
      <w:bookmarkStart w:id="79" w:name="_Toc27189"/>
      <w:bookmarkStart w:id="80" w:name="_Toc22074"/>
      <w:bookmarkStart w:id="81" w:name="_Toc90742390"/>
      <w:bookmarkStart w:id="82" w:name="_Toc90742688"/>
      <w:bookmarkStart w:id="83" w:name="_Toc180053236"/>
      <w:bookmarkStart w:id="84" w:name="_Toc29784"/>
      <w:bookmarkStart w:id="85" w:name="_Toc79154668"/>
      <w:bookmarkStart w:id="86" w:name="_Toc27226"/>
      <w:bookmarkStart w:id="87" w:name="_Toc29948"/>
      <w:bookmarkStart w:id="88" w:name="_Toc90742321"/>
      <w:bookmarkStart w:id="89" w:name="_Toc6714"/>
      <w:bookmarkStart w:id="90" w:name="_Toc16265"/>
      <w:bookmarkStart w:id="91" w:name="_Toc74065741"/>
      <w:bookmarkStart w:id="92"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3" w:name="_Toc26986"/>
      <w:bookmarkStart w:id="94" w:name="_Toc79154669"/>
      <w:bookmarkStart w:id="95" w:name="_Toc1823"/>
      <w:bookmarkStart w:id="96" w:name="_Toc180053237"/>
      <w:bookmarkStart w:id="97" w:name="_Toc18329"/>
      <w:bookmarkStart w:id="98" w:name="_Toc139991735"/>
      <w:bookmarkStart w:id="99" w:name="_Toc74065742"/>
      <w:bookmarkStart w:id="100" w:name="_Toc7848"/>
      <w:bookmarkStart w:id="101" w:name="_Toc18797"/>
      <w:bookmarkStart w:id="102" w:name="_Toc18526"/>
      <w:bookmarkStart w:id="103" w:name="_Toc21988"/>
      <w:bookmarkStart w:id="104" w:name="_Toc141703885"/>
      <w:bookmarkStart w:id="105" w:name="_Toc4741"/>
      <w:bookmarkStart w:id="106" w:name="_Toc14893"/>
      <w:bookmarkStart w:id="107" w:name="_Toc1791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pStyle w:val="15"/>
        <w:spacing w:line="360" w:lineRule="auto"/>
        <w:ind w:firstLine="361" w:firstLineChars="200"/>
        <w:rPr>
          <w:rFonts w:asciiTheme="majorEastAsia" w:hAnsiTheme="majorEastAsia" w:eastAsiaTheme="majorEastAsia"/>
          <w:b/>
          <w:color w:val="auto"/>
          <w:sz w:val="18"/>
          <w:szCs w:val="18"/>
        </w:rPr>
      </w:pPr>
      <w:bookmarkStart w:id="108" w:name="_Hlk490214295"/>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08"/>
    <w:p>
      <w:pPr>
        <w:pStyle w:val="2"/>
        <w:spacing w:before="0" w:after="0" w:line="360" w:lineRule="auto"/>
        <w:jc w:val="center"/>
        <w:rPr>
          <w:rFonts w:ascii="Times New Roman"/>
          <w:sz w:val="30"/>
        </w:rPr>
      </w:pPr>
      <w:bookmarkStart w:id="109" w:name="_Toc23261"/>
      <w:bookmarkStart w:id="110" w:name="_Toc98560352"/>
      <w:bookmarkStart w:id="111" w:name="_Toc123051452"/>
      <w:bookmarkStart w:id="112" w:name="_Toc1427"/>
      <w:bookmarkStart w:id="113" w:name="_Toc7920"/>
      <w:bookmarkStart w:id="114" w:name="_Toc180053238"/>
      <w:bookmarkStart w:id="115" w:name="_Toc79154670"/>
      <w:bookmarkStart w:id="116" w:name="_Toc79392606"/>
      <w:bookmarkStart w:id="117" w:name="_Toc74065743"/>
      <w:bookmarkStart w:id="118" w:name="_Toc48649707"/>
      <w:bookmarkStart w:id="119" w:name="_Toc610"/>
      <w:bookmarkStart w:id="120" w:name="_Toc4003"/>
      <w:bookmarkStart w:id="121" w:name="_Toc141703886"/>
      <w:bookmarkStart w:id="122" w:name="_Toc123112234"/>
      <w:bookmarkStart w:id="123" w:name="_Toc20733"/>
      <w:bookmarkStart w:id="124" w:name="_Toc123102453"/>
      <w:bookmarkStart w:id="125" w:name="_Toc10463"/>
      <w:bookmarkStart w:id="126" w:name="_Toc139991736"/>
      <w:bookmarkStart w:id="127" w:name="_Toc17244"/>
      <w:bookmarkStart w:id="128" w:name="_Toc23822"/>
      <w:bookmarkStart w:id="129" w:name="_Toc1270"/>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（二）估值日</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130" w:name="_Hlt70481650"/>
      <w:bookmarkEnd w:id="130"/>
      <w:bookmarkStart w:id="131" w:name="_Toc26207"/>
      <w:bookmarkStart w:id="132" w:name="_Toc180053239"/>
      <w:bookmarkStart w:id="133" w:name="_Toc79154671"/>
      <w:bookmarkStart w:id="134" w:name="_Toc6405"/>
      <w:bookmarkStart w:id="135" w:name="_Toc15143"/>
      <w:bookmarkStart w:id="136" w:name="_Toc12245"/>
      <w:bookmarkStart w:id="137" w:name="_Toc98560353"/>
      <w:bookmarkStart w:id="138" w:name="_Toc139991737"/>
      <w:bookmarkStart w:id="139" w:name="_Toc31644"/>
      <w:bookmarkStart w:id="140" w:name="_Toc31235"/>
      <w:bookmarkStart w:id="141" w:name="_Toc123051453"/>
      <w:bookmarkStart w:id="142" w:name="_Toc31653"/>
      <w:bookmarkStart w:id="143" w:name="_Toc29251"/>
      <w:bookmarkStart w:id="144" w:name="_Toc74065744"/>
      <w:bookmarkStart w:id="145" w:name="_Toc123112235"/>
      <w:bookmarkStart w:id="146" w:name="_Toc14835"/>
      <w:bookmarkStart w:id="147" w:name="_Toc141703887"/>
      <w:bookmarkStart w:id="148" w:name="_Toc3601"/>
      <w:bookmarkStart w:id="149" w:name="_Toc12310245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Start w:id="150" w:name="_Hlt55355235"/>
      <w:bookmarkEnd w:id="150"/>
      <w:bookmarkStart w:id="151" w:name="_Toc15118234"/>
      <w:bookmarkStart w:id="152" w:name="_Toc523711668"/>
      <w:bookmarkStart w:id="153" w:name="_Toc79392580"/>
      <w:bookmarkStart w:id="154" w:name="_Toc57530239"/>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bookmarkEnd w:id="151"/>
    <w:bookmarkEnd w:id="152"/>
    <w:bookmarkEnd w:id="153"/>
    <w:bookmarkEnd w:id="154"/>
    <w:p>
      <w:pPr>
        <w:pStyle w:val="2"/>
        <w:spacing w:before="0" w:after="0" w:line="360" w:lineRule="auto"/>
        <w:jc w:val="center"/>
        <w:rPr>
          <w:rFonts w:ascii="Times New Roman"/>
          <w:sz w:val="30"/>
        </w:rPr>
      </w:pPr>
      <w:bookmarkStart w:id="155" w:name="_Hlt88825574"/>
      <w:bookmarkEnd w:id="155"/>
      <w:bookmarkStart w:id="156" w:name="_Hlt88897298"/>
      <w:bookmarkEnd w:id="156"/>
      <w:bookmarkStart w:id="157" w:name="_Toc18567"/>
      <w:bookmarkStart w:id="158" w:name="_Toc6447"/>
      <w:bookmarkStart w:id="159" w:name="_Toc74065745"/>
      <w:bookmarkStart w:id="160" w:name="_Toc98560354"/>
      <w:bookmarkStart w:id="161" w:name="_Toc123112236"/>
      <w:bookmarkStart w:id="162" w:name="_Toc79392583"/>
      <w:bookmarkStart w:id="163" w:name="_Toc25783"/>
      <w:bookmarkStart w:id="164" w:name="_Toc123051454"/>
      <w:bookmarkStart w:id="165" w:name="_Toc3771"/>
      <w:bookmarkStart w:id="166" w:name="_Toc9706"/>
      <w:bookmarkStart w:id="167" w:name="_Toc123102455"/>
      <w:bookmarkStart w:id="168" w:name="_Toc4559"/>
      <w:bookmarkStart w:id="169" w:name="_Toc10650"/>
      <w:bookmarkStart w:id="170" w:name="_Toc11030"/>
      <w:bookmarkStart w:id="171" w:name="_Toc3321"/>
      <w:bookmarkStart w:id="172" w:name="_Toc79154672"/>
      <w:bookmarkStart w:id="173" w:name="_Toc141703888"/>
      <w:bookmarkStart w:id="174" w:name="_Toc180053240"/>
      <w:bookmarkStart w:id="175" w:name="_Toc7058"/>
      <w:bookmarkStart w:id="176" w:name="_Toc1399917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5"/>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77" w:name="_Toc1745"/>
      <w:bookmarkStart w:id="178" w:name="_Toc3963"/>
      <w:r>
        <w:br w:type="page"/>
      </w:r>
      <w:bookmarkStart w:id="179" w:name="_Toc123102456"/>
      <w:bookmarkStart w:id="180" w:name="_Toc98560355"/>
      <w:bookmarkStart w:id="181" w:name="_Toc10398"/>
      <w:bookmarkStart w:id="182" w:name="_Toc16164"/>
      <w:bookmarkStart w:id="183" w:name="_Toc21735"/>
      <w:bookmarkStart w:id="184" w:name="_Toc725"/>
      <w:bookmarkStart w:id="185" w:name="_Toc3572"/>
      <w:bookmarkStart w:id="186" w:name="_Toc180053241"/>
      <w:bookmarkStart w:id="187" w:name="_Toc74065746"/>
      <w:bookmarkStart w:id="188" w:name="_Toc123051455"/>
      <w:bookmarkStart w:id="189" w:name="_Toc141703889"/>
      <w:bookmarkStart w:id="190" w:name="_Toc123112237"/>
      <w:bookmarkStart w:id="191" w:name="_Toc3080"/>
      <w:bookmarkStart w:id="192" w:name="_Toc31821"/>
      <w:bookmarkStart w:id="193" w:name="_Toc18206"/>
      <w:bookmarkStart w:id="194" w:name="_Toc79154673"/>
      <w:bookmarkStart w:id="195" w:name="_Toc139991739"/>
      <w:r>
        <w:rPr>
          <w:rFonts w:hint="eastAsia"/>
          <w:sz w:val="30"/>
        </w:rPr>
        <w:t>第十条</w:t>
      </w:r>
      <w:r>
        <w:rPr>
          <w:sz w:val="30"/>
        </w:rPr>
        <w:t xml:space="preserve">  </w:t>
      </w:r>
      <w:r>
        <w:rPr>
          <w:rFonts w:hint="eastAsia"/>
          <w:sz w:val="30"/>
        </w:rPr>
        <w:t>理财产品的终止与清算</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spacing w:line="360" w:lineRule="auto"/>
        <w:ind w:firstLine="361" w:firstLineChars="200"/>
        <w:rPr>
          <w:rFonts w:asciiTheme="majorEastAsia" w:hAnsiTheme="majorEastAsia" w:eastAsiaTheme="majorEastAsia"/>
          <w:b/>
          <w:bCs/>
          <w:sz w:val="18"/>
          <w:szCs w:val="18"/>
        </w:rPr>
      </w:pPr>
      <w:bookmarkStart w:id="196" w:name="_Toc79392593"/>
      <w:bookmarkStart w:id="197" w:name="_Toc57530252"/>
      <w:bookmarkStart w:id="198"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96"/>
    <w:bookmarkEnd w:id="197"/>
    <w:bookmarkEnd w:id="198"/>
    <w:p>
      <w:pPr>
        <w:pStyle w:val="2"/>
        <w:spacing w:before="0" w:after="0" w:line="360" w:lineRule="auto"/>
        <w:jc w:val="center"/>
        <w:rPr>
          <w:rFonts w:ascii="Times New Roman"/>
          <w:sz w:val="30"/>
        </w:rPr>
      </w:pPr>
      <w:r>
        <w:rPr>
          <w:rFonts w:ascii="Times New Roman"/>
          <w:b w:val="0"/>
          <w:bCs w:val="0"/>
          <w:kern w:val="2"/>
        </w:rPr>
        <w:br w:type="page"/>
      </w:r>
      <w:bookmarkStart w:id="199" w:name="_Toc139991740"/>
      <w:bookmarkStart w:id="200" w:name="_Toc79154674"/>
      <w:bookmarkStart w:id="201" w:name="_Toc739"/>
      <w:bookmarkStart w:id="202" w:name="_Toc48649708"/>
      <w:bookmarkStart w:id="203" w:name="_Toc32584"/>
      <w:bookmarkStart w:id="204" w:name="_Toc17198"/>
      <w:bookmarkStart w:id="205" w:name="_Toc123051456"/>
      <w:bookmarkStart w:id="206" w:name="_Toc79392622"/>
      <w:bookmarkStart w:id="207" w:name="_Toc123112238"/>
      <w:bookmarkStart w:id="208" w:name="_Toc180053242"/>
      <w:bookmarkStart w:id="209" w:name="_Toc32092"/>
      <w:bookmarkStart w:id="210" w:name="_Toc29408"/>
      <w:bookmarkStart w:id="211" w:name="_Toc74065747"/>
      <w:bookmarkStart w:id="212" w:name="_Toc21237"/>
      <w:bookmarkStart w:id="213" w:name="_Toc98560356"/>
      <w:bookmarkStart w:id="214" w:name="_Toc141703890"/>
      <w:bookmarkStart w:id="215" w:name="_Toc8791"/>
      <w:bookmarkStart w:id="216" w:name="_Toc17920"/>
      <w:bookmarkStart w:id="217" w:name="_Toc5170"/>
      <w:bookmarkStart w:id="218" w:name="_Toc3329"/>
      <w:bookmarkStart w:id="219" w:name="_Toc123102457"/>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pPr>
        <w:spacing w:line="360" w:lineRule="auto"/>
        <w:ind w:firstLine="361" w:firstLineChars="200"/>
        <w:rPr>
          <w:rFonts w:ascii="宋体" w:hAnsi="宋体"/>
          <w:b/>
          <w:bCs/>
          <w:sz w:val="18"/>
          <w:szCs w:val="18"/>
        </w:rPr>
      </w:pPr>
      <w:bookmarkStart w:id="220" w:name="_Toc85201647"/>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20"/>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221" w:name="_Toc79154675"/>
      <w:bookmarkStart w:id="222" w:name="_Toc180053243"/>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21"/>
      <w:bookmarkEnd w:id="222"/>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bookmarkStart w:id="223" w:name="_GoBack"/>
      <w:bookmarkEnd w:id="223"/>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5"/>
        <w:spacing w:line="360" w:lineRule="auto"/>
        <w:rPr>
          <w:rFonts w:hAnsi="宋体"/>
          <w:sz w:val="18"/>
          <w:szCs w:val="18"/>
        </w:rPr>
      </w:pPr>
    </w:p>
    <w:p>
      <w:pPr>
        <w:spacing w:line="360" w:lineRule="auto"/>
        <w:jc w:val="left"/>
        <w:rPr>
          <w:rFonts w:hint="eastAsia" w:ascii="宋体" w:hAnsi="宋体"/>
          <w:b/>
          <w:sz w:val="18"/>
          <w:szCs w:val="18"/>
        </w:rPr>
        <w:sectPr>
          <w:headerReference r:id="rId9" w:type="default"/>
          <w:footerReference r:id="rId10"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兴银理财【添利】理财产品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keepNext w:val="0"/>
              <w:keepLines w:val="0"/>
              <w:widowControl/>
              <w:suppressLineNumbers w:val="0"/>
              <w:spacing w:before="0" w:beforeAutospacing="0" w:after="0" w:afterAutospacing="0"/>
              <w:ind w:left="0" w:right="0"/>
              <w:jc w:val="both"/>
              <w:rPr>
                <w:rFonts w:ascii="宋体" w:hAnsi="宋体"/>
                <w:bCs/>
                <w:sz w:val="18"/>
                <w:szCs w:val="18"/>
              </w:rPr>
            </w:pPr>
            <w:r>
              <w:rPr>
                <w:rFonts w:hint="eastAsia" w:ascii="宋体" w:hAnsi="宋体"/>
                <w:bCs/>
                <w:sz w:val="18"/>
                <w:szCs w:val="18"/>
              </w:rPr>
              <w:t>【</w:t>
            </w:r>
            <w:r>
              <w:rPr>
                <w:rFonts w:hint="eastAsia" w:ascii="宋体" w:hAnsi="宋体" w:eastAsia="宋体" w:cs="宋体"/>
                <w:i w:val="0"/>
                <w:iCs w:val="0"/>
                <w:caps w:val="0"/>
                <w:color w:val="000000"/>
                <w:spacing w:val="0"/>
                <w:kern w:val="0"/>
                <w:sz w:val="18"/>
                <w:szCs w:val="18"/>
                <w:lang w:val="en-US" w:eastAsia="zh-CN" w:bidi="ar"/>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宋体" w:hAnsi="宋体"/>
                <w:bCs/>
                <w:sz w:val="18"/>
                <w:szCs w:val="18"/>
              </w:rPr>
              <w:t>【</w:t>
            </w:r>
            <w:r>
              <w:rPr>
                <w:rFonts w:hint="eastAsia" w:ascii="宋体" w:hAnsi="宋体"/>
                <w:bCs/>
                <w:sz w:val="18"/>
                <w:szCs w:val="18"/>
                <w:lang w:val="en-US" w:eastAsia="zh-CN"/>
              </w:rPr>
              <w:t xml:space="preserve">     </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黑体" w:hAnsi="黑体" w:eastAsia="黑体"/>
          <w:bCs/>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销售机构将理财产品分为【5】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bCs/>
          <w:kern w:val="0"/>
          <w:sz w:val="18"/>
          <w:szCs w:val="18"/>
        </w:rPr>
        <w:t>【兴银理财添利9号净值型理财产品】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【兴银添利9号颐养款（中老年专属）】（适用【</w:t>
      </w:r>
      <w:r>
        <w:rPr>
          <w:rFonts w:ascii="宋体" w:hAnsi="宋体"/>
          <w:bCs/>
          <w:sz w:val="18"/>
          <w:szCs w:val="18"/>
        </w:rPr>
        <w:t>R</w:t>
      </w:r>
      <w:r>
        <w:rPr>
          <w:rFonts w:hint="eastAsia" w:ascii="宋体" w:hAnsi="宋体"/>
          <w:bCs/>
          <w:sz w:val="18"/>
          <w:szCs w:val="18"/>
        </w:rPr>
        <w:t>】类份额）</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Theme="minorEastAsia" w:hAnsiTheme="minorEastAsia"/>
          <w:bCs/>
          <w:sz w:val="18"/>
          <w:szCs w:val="18"/>
        </w:rPr>
        <w:t>Z7002020000173</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（一）投资者投资本产品可能面临的特定风险主要包括（但不限于）：</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cs="仿宋_GB2312"/>
          <w:kern w:val="0"/>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keepNext w:val="0"/>
        <w:keepLines w:val="0"/>
        <w:widowControl w:val="0"/>
        <w:suppressLineNumbers w:val="0"/>
        <w:spacing w:before="0" w:beforeAutospacing="0" w:after="0" w:afterAutospacing="0"/>
        <w:ind w:left="0" w:right="0"/>
        <w:jc w:val="right"/>
        <w:rPr>
          <w:rFonts w:ascii="宋体" w:hAnsi="宋体"/>
          <w:sz w:val="18"/>
          <w:szCs w:val="18"/>
        </w:rPr>
      </w:pPr>
      <w:r>
        <w:rPr>
          <w:rFonts w:hint="eastAsia" w:ascii="宋体" w:hAnsi="宋体"/>
          <w:sz w:val="18"/>
          <w:szCs w:val="18"/>
        </w:rPr>
        <w:t>销售机构（</w:t>
      </w:r>
      <w:r>
        <w:rPr>
          <w:rFonts w:hint="eastAsia" w:ascii="宋体" w:hAnsi="宋体" w:eastAsia="宋体" w:cs="宋体"/>
          <w:kern w:val="2"/>
          <w:sz w:val="18"/>
          <w:szCs w:val="18"/>
          <w:lang w:val="en-US" w:eastAsia="zh-CN" w:bidi="ar"/>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9"/>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兴银理财【添利】理财产品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感谢您通过销售机构【福建省农村信用社联合社】以(□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keepNext w:val="0"/>
        <w:keepLines w:val="0"/>
        <w:widowControl w:val="0"/>
        <w:suppressLineNumbers w:val="0"/>
        <w:spacing w:before="0" w:beforeAutospacing="0" w:after="0" w:afterAutospacing="0"/>
        <w:ind w:left="0" w:right="0" w:firstLine="360" w:firstLineChars="200"/>
        <w:jc w:val="both"/>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销售机构根据投资者风险承受能力，机构投资者由低至高分为【保守型、谨慎型、稳健型、进取型、激进型】。其中，【保守型】为风险承受能力最低类别，【激进型】为风险承受能力最高类别。风险承受能力评级越高适合购买的理财产品风险评级越高，适合购买的理财产品类型越丰富，投资者风险承受能力风险评级类型与适合购买的理财产品的对应关系为：</w:t>
      </w:r>
    </w:p>
    <w:tbl>
      <w:tblPr>
        <w:tblStyle w:val="8"/>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风险调查问卷分值</w:t>
            </w:r>
          </w:p>
        </w:tc>
        <w:tc>
          <w:tcPr>
            <w:tcW w:w="1276"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投资者类型</w:t>
            </w:r>
          </w:p>
        </w:tc>
        <w:tc>
          <w:tcPr>
            <w:tcW w:w="1275"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投资者风险承受等级</w:t>
            </w:r>
          </w:p>
        </w:tc>
        <w:tc>
          <w:tcPr>
            <w:tcW w:w="2410"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风险特征描述</w:t>
            </w:r>
          </w:p>
        </w:tc>
        <w:tc>
          <w:tcPr>
            <w:tcW w:w="1418"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自然人</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法人单位</w:t>
            </w:r>
          </w:p>
        </w:tc>
        <w:tc>
          <w:tcPr>
            <w:tcW w:w="1276"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1275"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2410"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1418"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81－100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86-100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激进型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高风险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属于可以承受高风险级别的投资者。适合投资于商品及金融衍生品类产品。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61－80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71-85</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进取型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中高风险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属于可以承担较高风险级别的投资者。适合投资于权益类产品。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firstLine="90" w:firstLineChars="5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36－60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46-70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稳健型</w:t>
            </w:r>
          </w:p>
        </w:tc>
        <w:tc>
          <w:tcPr>
            <w:tcW w:w="1275" w:type="dxa"/>
            <w:tcBorders>
              <w:top w:val="single" w:color="auto" w:sz="4" w:space="0"/>
              <w:left w:val="nil"/>
              <w:bottom w:val="single" w:color="auto" w:sz="4" w:space="0"/>
              <w:right w:val="single" w:color="auto" w:sz="4" w:space="0"/>
            </w:tcBorders>
            <w:shd w:val="clear"/>
            <w:vAlign w:val="center"/>
          </w:tcPr>
          <w:p>
            <w:pPr>
              <w:pStyle w:val="7"/>
              <w:keepNext w:val="0"/>
              <w:keepLines w:val="0"/>
              <w:widowControl w:val="0"/>
              <w:suppressLineNumbers w:val="0"/>
              <w:autoSpaceDE w:val="0"/>
              <w:autoSpaceDN w:val="0"/>
              <w:adjustRightInd w:val="0"/>
              <w:spacing w:before="0" w:beforeAutospacing="0" w:after="0" w:afterAutospacing="0" w:line="540" w:lineRule="exact"/>
              <w:ind w:left="0" w:right="0"/>
              <w:contextualSpacing w:val="0"/>
              <w:jc w:val="center"/>
              <w:rPr>
                <w:rFonts w:hint="eastAsia" w:ascii="宋体" w:hAnsi="宋体" w:eastAsia="宋体" w:cs="宋体"/>
                <w:color w:val="000000"/>
                <w:sz w:val="18"/>
                <w:szCs w:val="18"/>
                <w:bdr w:val="none" w:color="auto" w:sz="0" w:space="0"/>
              </w:rPr>
            </w:pPr>
            <w:r>
              <w:rPr>
                <w:rFonts w:hint="eastAsia" w:ascii="宋体" w:hAnsi="宋体" w:eastAsia="宋体" w:cs="宋体"/>
                <w:color w:val="000000"/>
                <w:kern w:val="0"/>
                <w:sz w:val="18"/>
                <w:szCs w:val="18"/>
                <w:bdr w:val="none" w:color="auto" w:sz="0" w:space="0"/>
                <w:lang w:val="en-US" w:eastAsia="zh-CN" w:bidi="ar"/>
              </w:rPr>
              <w:t>中等风险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属于可以承担中等风险级别的投资者。适合投资于混合类产品。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firstLine="90" w:firstLineChars="5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16－35</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31-45</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谨慎型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中低风险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属于可以承担较低风险级别的投资者。适合投资于含股权性质或债项评级低于AA+的固定收益类产品。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-9－15</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小于等于30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保守型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低风险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属于可以承担低风险级别的投资者。适合投资于股权或债项评级高于AA+（含）以上的固定收益类产品。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keepNext w:val="0"/>
        <w:keepLines w:val="0"/>
        <w:widowControl w:val="0"/>
        <w:suppressLineNumbers w:val="0"/>
        <w:autoSpaceDE w:val="0"/>
        <w:autoSpaceDN w:val="0"/>
        <w:adjustRightInd w:val="0"/>
        <w:spacing w:before="0" w:beforeAutospacing="0" w:after="0" w:afterAutospacing="0" w:line="280" w:lineRule="atLeast"/>
        <w:ind w:left="0" w:right="0" w:firstLine="360" w:firstLineChars="200"/>
        <w:jc w:val="left"/>
        <w:rPr>
          <w:rFonts w:hint="eastAsia" w:ascii="宋体" w:hAnsi="宋体" w:eastAsia="宋体" w:cs="宋体"/>
          <w:b/>
          <w:bCs w:val="0"/>
          <w:kern w:val="2"/>
          <w:sz w:val="18"/>
          <w:szCs w:val="18"/>
          <w:highlight w:val="yellow"/>
        </w:rPr>
      </w:pPr>
      <w:r>
        <w:rPr>
          <w:rFonts w:hint="eastAsia" w:ascii="宋体" w:hAnsi="宋体" w:eastAsia="宋体" w:cs="宋体"/>
          <w:kern w:val="2"/>
          <w:sz w:val="18"/>
          <w:szCs w:val="18"/>
          <w:lang w:val="en-US" w:eastAsia="zh-CN" w:bidi="ar"/>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兴银理财【添利】理财产品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keepNext w:val="0"/>
        <w:keepLines w:val="0"/>
        <w:widowControl w:val="0"/>
        <w:suppressLineNumbers w:val="0"/>
        <w:spacing w:before="0" w:beforeAutospacing="0" w:after="0" w:afterAutospacing="0"/>
        <w:ind w:left="0" w:right="0"/>
        <w:jc w:val="both"/>
        <w:rPr>
          <w:rFonts w:ascii="宋体" w:hAnsi="宋体"/>
          <w:sz w:val="18"/>
          <w:szCs w:val="18"/>
        </w:rPr>
      </w:pPr>
      <w:r>
        <w:rPr>
          <w:rFonts w:hint="eastAsia" w:ascii="宋体" w:hAnsi="宋体"/>
          <w:sz w:val="18"/>
          <w:szCs w:val="18"/>
        </w:rPr>
        <w:t>感谢您通过销售机构【</w:t>
      </w:r>
      <w:r>
        <w:rPr>
          <w:rFonts w:hint="eastAsia" w:ascii="宋体" w:hAnsi="宋体" w:eastAsia="宋体" w:cs="宋体"/>
          <w:kern w:val="2"/>
          <w:sz w:val="18"/>
          <w:szCs w:val="18"/>
          <w:lang w:val="en-US" w:eastAsia="zh-CN" w:bidi="ar"/>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keepNext w:val="0"/>
        <w:keepLines w:val="0"/>
        <w:widowControl w:val="0"/>
        <w:suppressLineNumbers w:val="0"/>
        <w:spacing w:before="0" w:beforeAutospacing="0" w:after="0" w:afterAutospacing="0"/>
        <w:ind w:left="0" w:right="0" w:firstLine="360" w:firstLineChars="200"/>
        <w:jc w:val="both"/>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销售机构根据投资者风险承受能力，机构投资者由低至高分为【保守型、谨慎型、稳健型、进取型、激进型】。其中，【保守型】为风险承受能力最低类别，【激进型】为风险承受能力最高类别。风险承受能力评级越高适合购买的理财产品风险评级越高，适合购买的理财产品类型越丰富，投资者风险承受能力风险评级类型与适合购买的理财产品的对应关系为：</w:t>
      </w:r>
    </w:p>
    <w:tbl>
      <w:tblPr>
        <w:tblStyle w:val="8"/>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风险调查问卷分值</w:t>
            </w:r>
          </w:p>
        </w:tc>
        <w:tc>
          <w:tcPr>
            <w:tcW w:w="1276"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投资者类型</w:t>
            </w:r>
          </w:p>
        </w:tc>
        <w:tc>
          <w:tcPr>
            <w:tcW w:w="1275"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投资者风险承受等级</w:t>
            </w:r>
          </w:p>
        </w:tc>
        <w:tc>
          <w:tcPr>
            <w:tcW w:w="2410"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风险特征描述</w:t>
            </w:r>
          </w:p>
        </w:tc>
        <w:tc>
          <w:tcPr>
            <w:tcW w:w="1418"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自然人</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法人单位</w:t>
            </w:r>
          </w:p>
        </w:tc>
        <w:tc>
          <w:tcPr>
            <w:tcW w:w="1276"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1275"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2410"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1418" w:type="dxa"/>
            <w:vMerge w:val="continue"/>
            <w:tcBorders>
              <w:top w:val="single" w:color="auto" w:sz="4" w:space="0"/>
              <w:left w:val="nil"/>
              <w:bottom w:val="single" w:color="auto" w:sz="4" w:space="0"/>
              <w:right w:val="single" w:color="auto" w:sz="4" w:space="0"/>
            </w:tcBorders>
            <w:shd w:val="clear"/>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81－100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86-100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激进型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高风险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属于可以承受高风险级别的投资者。适合投资于商品及金融衍生品类产品。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61－80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71-85</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进取型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中高风险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属于可以承担较高风险级别的投资者。适合投资于权益类产品。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firstLine="90" w:firstLineChars="5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36－60</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46-70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稳健型</w:t>
            </w:r>
          </w:p>
        </w:tc>
        <w:tc>
          <w:tcPr>
            <w:tcW w:w="1275" w:type="dxa"/>
            <w:tcBorders>
              <w:top w:val="single" w:color="auto" w:sz="4" w:space="0"/>
              <w:left w:val="nil"/>
              <w:bottom w:val="single" w:color="auto" w:sz="4" w:space="0"/>
              <w:right w:val="single" w:color="auto" w:sz="4" w:space="0"/>
            </w:tcBorders>
            <w:shd w:val="clear"/>
            <w:vAlign w:val="center"/>
          </w:tcPr>
          <w:p>
            <w:pPr>
              <w:pStyle w:val="7"/>
              <w:keepNext w:val="0"/>
              <w:keepLines w:val="0"/>
              <w:widowControl w:val="0"/>
              <w:suppressLineNumbers w:val="0"/>
              <w:autoSpaceDE w:val="0"/>
              <w:autoSpaceDN w:val="0"/>
              <w:adjustRightInd w:val="0"/>
              <w:spacing w:before="0" w:beforeAutospacing="0" w:after="0" w:afterAutospacing="0" w:line="540" w:lineRule="exact"/>
              <w:ind w:left="0" w:right="0"/>
              <w:contextualSpacing w:val="0"/>
              <w:jc w:val="center"/>
              <w:rPr>
                <w:rFonts w:hint="eastAsia" w:ascii="宋体" w:hAnsi="宋体" w:eastAsia="宋体" w:cs="宋体"/>
                <w:color w:val="000000"/>
                <w:sz w:val="18"/>
                <w:szCs w:val="18"/>
                <w:bdr w:val="none" w:color="auto" w:sz="0" w:space="0"/>
              </w:rPr>
            </w:pPr>
            <w:r>
              <w:rPr>
                <w:rFonts w:hint="eastAsia" w:ascii="宋体" w:hAnsi="宋体" w:eastAsia="宋体" w:cs="宋体"/>
                <w:color w:val="000000"/>
                <w:kern w:val="0"/>
                <w:sz w:val="18"/>
                <w:szCs w:val="18"/>
                <w:bdr w:val="none" w:color="auto" w:sz="0" w:space="0"/>
                <w:lang w:val="en-US" w:eastAsia="zh-CN" w:bidi="ar"/>
              </w:rPr>
              <w:t>中等风险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属于可以承担中等风险级别的投资者。适合投资于混合类产品。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firstLine="90" w:firstLineChars="5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16－35</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31-45</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谨慎型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中低风险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属于可以承担较低风险级别的投资者。适合投资于含股权性质或债项评级低于AA+的固定收益类产品。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-9－15</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小于等于30</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firstLine="180" w:firstLineChars="100"/>
              <w:jc w:val="both"/>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保守型</w:t>
            </w:r>
          </w:p>
        </w:tc>
        <w:tc>
          <w:tcPr>
            <w:tcW w:w="127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低风险</w:t>
            </w:r>
          </w:p>
        </w:tc>
        <w:tc>
          <w:tcPr>
            <w:tcW w:w="24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left"/>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属于可以承担低风险级别的投资者。适合投资于股权或债项评级高于AA+（含）以上的固定收益类产品。</w:t>
            </w:r>
          </w:p>
        </w:tc>
        <w:tc>
          <w:tcPr>
            <w:tcW w:w="1418"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0" w:lineRule="atLeast"/>
              <w:ind w:left="0" w:right="0"/>
              <w:jc w:val="center"/>
              <w:rPr>
                <w:rFonts w:hint="eastAsia" w:ascii="宋体" w:hAnsi="宋体" w:eastAsia="宋体" w:cs="宋体"/>
                <w:kern w:val="2"/>
                <w:sz w:val="18"/>
                <w:szCs w:val="18"/>
                <w:bdr w:val="none" w:color="auto" w:sz="0" w:space="0"/>
              </w:rPr>
            </w:pPr>
            <w:r>
              <w:rPr>
                <w:rFonts w:hint="eastAsia" w:ascii="宋体" w:hAnsi="宋体" w:eastAsia="宋体" w:cs="宋体"/>
                <w:kern w:val="2"/>
                <w:sz w:val="18"/>
                <w:szCs w:val="18"/>
                <w:bdr w:val="none" w:color="auto" w:sz="0" w:space="0"/>
                <w:lang w:val="en-US" w:eastAsia="zh-CN" w:bidi="ar"/>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autoSpaceDE w:val="0"/>
        <w:autoSpaceDN w:val="0"/>
        <w:adjustRightInd w:val="0"/>
        <w:spacing w:line="280" w:lineRule="atLeast"/>
        <w:ind w:firstLine="360" w:firstLineChars="200"/>
        <w:jc w:val="left"/>
        <w:rPr>
          <w:rFonts w:ascii="仿宋_GB2312" w:eastAsia="仿宋_GB2312" w:cs="仿宋_GB2312"/>
          <w:color w:val="000000"/>
          <w:kern w:val="0"/>
          <w:sz w:val="24"/>
          <w:szCs w:val="24"/>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keepNext w:val="0"/>
        <w:keepLines w:val="0"/>
        <w:widowControl w:val="0"/>
        <w:suppressLineNumbers w:val="0"/>
        <w:spacing w:before="0" w:beforeAutospacing="0" w:after="0" w:afterAutospacing="0"/>
        <w:ind w:left="0" w:right="0"/>
        <w:jc w:val="both"/>
        <w:rPr>
          <w:rFonts w:ascii="宋体" w:hAnsi="宋体"/>
          <w:sz w:val="18"/>
          <w:szCs w:val="18"/>
        </w:rPr>
      </w:pPr>
      <w:r>
        <w:rPr>
          <w:rFonts w:hint="eastAsia" w:ascii="宋体" w:hAnsi="宋体"/>
          <w:sz w:val="18"/>
          <w:szCs w:val="18"/>
        </w:rPr>
        <w:t>感谢您通过销售机构【</w:t>
      </w:r>
      <w:r>
        <w:rPr>
          <w:rFonts w:hint="eastAsia" w:ascii="宋体" w:hAnsi="宋体" w:eastAsia="宋体" w:cs="宋体"/>
          <w:kern w:val="2"/>
          <w:sz w:val="18"/>
          <w:szCs w:val="18"/>
          <w:lang w:val="en-US" w:eastAsia="zh-CN" w:bidi="ar"/>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keepNext w:val="0"/>
        <w:keepLines w:val="0"/>
        <w:widowControl w:val="0"/>
        <w:suppressLineNumbers w:val="0"/>
        <w:spacing w:before="0" w:beforeAutospacing="0" w:after="0" w:afterAutospacing="0"/>
        <w:ind w:right="0" w:firstLine="360" w:firstLineChars="200"/>
        <w:jc w:val="both"/>
      </w:pPr>
      <w:r>
        <w:rPr>
          <w:rFonts w:hint="eastAsia" w:ascii="宋体" w:hAnsi="宋体" w:eastAsia="宋体" w:cs="宋体"/>
          <w:kern w:val="2"/>
          <w:sz w:val="18"/>
          <w:szCs w:val="18"/>
          <w:lang w:val="en-US" w:eastAsia="zh-CN" w:bidi="ar"/>
        </w:rPr>
        <w:t>通过【福建省农村信用社联合社】（作为销售服务机构）购买本产品的，请联系【福建省农村信用社联合社】，【福建省农村信用社联合社】客户服务热线：【0591-96336】；【福建省农村信用社联合社】门户网站：【www.fjnx.com.cn】。</w:t>
      </w:r>
    </w:p>
    <w:p/>
    <w:p>
      <w:pPr>
        <w:spacing w:line="360" w:lineRule="auto"/>
        <w:jc w:val="left"/>
        <w:rPr>
          <w:rFonts w:hint="eastAsia" w:ascii="宋体" w:hAnsi="宋体"/>
          <w:b/>
          <w:sz w:val="18"/>
          <w:szCs w:val="18"/>
        </w:rPr>
      </w:pPr>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3"/>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4"/>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4"/>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4"/>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B71A2"/>
    <w:rsid w:val="25FD4774"/>
    <w:rsid w:val="6F2E5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basedOn w:val="10"/>
    <w:qFormat/>
    <w:uiPriority w:val="99"/>
    <w:rPr>
      <w:color w:val="0000FF"/>
      <w:u w:val="single"/>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2024-10-22T09:33:00Z</dcterms:created>
  <dc:creator>cib</dc:creator>
  <cp:lastModifiedBy>025617</cp:lastModifiedBy>
  <dcterms:modified xsi:type="dcterms:W3CDTF">2024-10-22T16:09:37Z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7E82E7F2EE11479FA1B55D4E4948284B</vt:lpwstr>
  </property>
</Properties>
</file>