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r>
        <w:rPr>
          <w:rStyle w:val="12"/>
          <w:rFonts w:hint="eastAsia" w:ascii="黑体" w:hAnsi="黑体" w:eastAsia="黑体" w:cs="宋体"/>
          <w:sz w:val="44"/>
          <w:szCs w:val="44"/>
        </w:rPr>
        <w:t>天天万利宝稳利净值型</w:t>
      </w:r>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兴银理财【天天万利宝稳利净值型】理财产品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23112263"/>
      <w:bookmarkStart w:id="1" w:name="_Toc139991726"/>
      <w:bookmarkStart w:id="2" w:name="_Toc139992301"/>
      <w:bookmarkStart w:id="3" w:name="_Toc123701383"/>
      <w:bookmarkStart w:id="4" w:name="_Toc123112224"/>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23112225"/>
      <w:bookmarkStart w:id="6" w:name="_Toc123112264"/>
      <w:bookmarkStart w:id="7" w:name="_Toc139991727"/>
      <w:bookmarkStart w:id="8" w:name="_Toc139992302"/>
      <w:bookmarkStart w:id="9" w:name="_Toc123701384"/>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【2024】年【0</w:t>
      </w:r>
      <w:r>
        <w:rPr>
          <w:rStyle w:val="12"/>
          <w:rFonts w:ascii="宋体" w:hAnsi="宋体"/>
          <w:sz w:val="28"/>
          <w:szCs w:val="28"/>
        </w:rPr>
        <w:t>8</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8"/>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27"/>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【兴业银行天天万利宝稳利2号净值型理财产品B款】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【稳利恒盈B 6个月】</w:t>
            </w:r>
            <w:r>
              <w:rPr>
                <w:rFonts w:hint="eastAsia" w:ascii="宋体" w:hAnsi="宋体"/>
                <w:bCs/>
                <w:color w:val="000000" w:themeColor="text1"/>
                <w:sz w:val="18"/>
                <w:szCs w:val="18"/>
                <w14:textFill>
                  <w14:solidFill>
                    <w14:schemeClr w14:val="tx1"/>
                  </w14:solidFill>
                </w14:textFill>
              </w:rPr>
              <w:t>（适用【A】类份额）</w:t>
            </w:r>
          </w:p>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【稳利恒盈B 6个月B】</w:t>
            </w:r>
            <w:r>
              <w:rPr>
                <w:rFonts w:hint="eastAsia" w:ascii="宋体" w:hAnsi="宋体"/>
                <w:bCs/>
                <w:color w:val="000000" w:themeColor="text1"/>
                <w:sz w:val="18"/>
                <w:szCs w:val="18"/>
                <w14:textFill>
                  <w14:solidFill>
                    <w14:schemeClr w14:val="tx1"/>
                  </w14:solidFill>
                </w14:textFill>
              </w:rPr>
              <w:t>（适用【B】类份额）</w:t>
            </w:r>
          </w:p>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稳利恒盈B 6个月（惠享款）</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w:t>
            </w:r>
            <w:r>
              <w:rPr>
                <w:rFonts w:ascii="宋体" w:hAnsi="宋体"/>
                <w:bCs/>
                <w:color w:val="000000" w:themeColor="text1"/>
                <w:sz w:val="18"/>
                <w:szCs w:val="18"/>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【Z7002020000019】注：投资者可依据理财产品登记编码在中国理财网查询产品信息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sz w:val="18"/>
                <w:szCs w:val="18"/>
              </w:rPr>
              <w:t>9K218022</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【9K218022】（适用【A】类份额）</w:t>
            </w:r>
          </w:p>
          <w:p>
            <w:pPr>
              <w:spacing w:line="320" w:lineRule="exact"/>
              <w:jc w:val="left"/>
              <w:rPr>
                <w:rFonts w:ascii="宋体" w:hAnsi="宋体"/>
                <w:bCs/>
                <w:sz w:val="18"/>
                <w:szCs w:val="18"/>
              </w:rPr>
            </w:pPr>
            <w:r>
              <w:rPr>
                <w:rFonts w:hint="eastAsia" w:ascii="宋体" w:hAnsi="宋体"/>
                <w:bCs/>
                <w:sz w:val="18"/>
                <w:szCs w:val="18"/>
              </w:rPr>
              <w:t>【9K218122】（适用【B】类份额）</w:t>
            </w:r>
          </w:p>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【9K218</w:t>
            </w:r>
            <w:r>
              <w:rPr>
                <w:rFonts w:ascii="宋体" w:hAnsi="宋体"/>
                <w:bCs/>
                <w:sz w:val="18"/>
                <w:szCs w:val="18"/>
              </w:rPr>
              <w:t>2</w:t>
            </w:r>
            <w:r>
              <w:rPr>
                <w:rFonts w:hint="eastAsia" w:ascii="宋体" w:hAnsi="宋体"/>
                <w:bCs/>
                <w:sz w:val="18"/>
                <w:szCs w:val="18"/>
              </w:rPr>
              <w:t>22】（适用【</w:t>
            </w:r>
            <w:r>
              <w:rPr>
                <w:rFonts w:ascii="宋体" w:hAnsi="宋体"/>
                <w:bCs/>
                <w:sz w:val="18"/>
                <w:szCs w:val="18"/>
              </w:rPr>
              <w:t>C</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2639"/>
      <w:bookmarkStart w:id="15" w:name="_Toc26897"/>
      <w:bookmarkStart w:id="16" w:name="_Toc29629"/>
      <w:bookmarkStart w:id="17" w:name="_Toc123701389"/>
      <w:bookmarkStart w:id="18" w:name="_Toc8727"/>
      <w:bookmarkStart w:id="19" w:name="_Toc123112229"/>
      <w:bookmarkStart w:id="20" w:name="_Toc4867"/>
      <w:bookmarkStart w:id="21" w:name="_Toc141703880"/>
      <w:bookmarkStart w:id="22" w:name="_Toc15517"/>
      <w:bookmarkStart w:id="23" w:name="_Toc6306"/>
      <w:bookmarkStart w:id="24" w:name="_Toc30935"/>
      <w:bookmarkStart w:id="25" w:name="_Toc123112268"/>
      <w:bookmarkStart w:id="26" w:name="_Toc139991730"/>
      <w:bookmarkStart w:id="27" w:name="_Toc4966"/>
      <w:bookmarkStart w:id="28" w:name="_Toc2338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15067"/>
      <w:bookmarkStart w:id="34" w:name="_Toc258829399"/>
      <w:bookmarkStart w:id="35" w:name="_Toc24860"/>
      <w:bookmarkStart w:id="36" w:name="_Toc2465"/>
      <w:bookmarkStart w:id="37" w:name="_Toc21301"/>
      <w:bookmarkStart w:id="38" w:name="_Toc6617"/>
      <w:bookmarkStart w:id="39" w:name="_Toc819"/>
      <w:bookmarkStart w:id="40" w:name="_Toc19592"/>
      <w:bookmarkStart w:id="41" w:name="_Toc22864"/>
      <w:bookmarkStart w:id="42" w:name="_Toc3224"/>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74065740"/>
      <w:bookmarkStart w:id="49" w:name="_Toc6683"/>
      <w:bookmarkStart w:id="50" w:name="_Toc13288"/>
      <w:bookmarkStart w:id="51" w:name="_Toc18631"/>
      <w:bookmarkStart w:id="52" w:name="_Toc6149"/>
      <w:bookmarkStart w:id="53" w:name="_Toc545"/>
      <w:bookmarkStart w:id="54" w:name="_Toc22708"/>
      <w:bookmarkStart w:id="55" w:name="_Toc20318"/>
      <w:bookmarkStart w:id="56" w:name="_Toc733"/>
      <w:bookmarkStart w:id="57" w:name="_Toc24571"/>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兴银理财【天天万利宝稳利净值型】理财产品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【2024】年【0</w:t>
      </w:r>
      <w:r>
        <w:rPr>
          <w:rStyle w:val="12"/>
          <w:rFonts w:ascii="宋体" w:hAnsi="宋体" w:cs="Times New Roman"/>
          <w:sz w:val="32"/>
          <w:szCs w:val="32"/>
        </w:rPr>
        <w:t>8</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"_Toc116984884" </w:instrText>
          </w:r>
          <w:r>
            <w:fldChar w:fldCharType="separate"/>
          </w:r>
          <w:r>
            <w:rPr>
              <w:rStyle w:val="13"/>
              <w:rFonts w:hint="eastAsia" w:ascii="Times New Roman"/>
            </w:rPr>
            <w:t>第一条</w:t>
          </w:r>
          <w:r>
            <w:rPr>
              <w:rStyle w:val="13"/>
              <w:rFonts w:ascii="Times New Roman"/>
            </w:rPr>
            <w:t xml:space="preserve">  </w:t>
          </w:r>
          <w:r>
            <w:rPr>
              <w:rStyle w:val="13"/>
              <w:rFonts w:hint="eastAsia" w:ascii="Times New Roman"/>
            </w:rPr>
            <w:t>释义</w:t>
          </w:r>
          <w:r>
            <w:tab/>
          </w:r>
          <w:r>
            <w:fldChar w:fldCharType="begin"/>
          </w:r>
          <w:r>
            <w:instrText xml:space="preserve"> PAGEREF _Toc116984884 \h </w:instrText>
          </w:r>
          <w:r>
            <w:fldChar w:fldCharType="separate"/>
          </w:r>
          <w:r>
            <w:t>3</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"_Toc116984885" </w:instrText>
          </w:r>
          <w:r>
            <w:fldChar w:fldCharType="separate"/>
          </w:r>
          <w:r>
            <w:rPr>
              <w:rStyle w:val="13"/>
              <w:rFonts w:hint="eastAsia" w:hAnsi="宋体"/>
            </w:rPr>
            <w:t>第二条</w:t>
          </w:r>
          <w:r>
            <w:rPr>
              <w:rStyle w:val="13"/>
              <w:rFonts w:hAnsi="宋体"/>
            </w:rPr>
            <w:t xml:space="preserve">  </w:t>
          </w:r>
          <w:r>
            <w:rPr>
              <w:rStyle w:val="13"/>
              <w:rFonts w:hint="eastAsia" w:hAnsi="宋体"/>
            </w:rPr>
            <w:t>理财产品基本情况</w:t>
          </w:r>
          <w:r>
            <w:rPr>
              <w:rStyle w:val="13"/>
              <w:rFonts w:hAnsi="宋体"/>
            </w:rPr>
            <w:t xml:space="preserve"> </w:t>
          </w:r>
          <w:r>
            <w:tab/>
          </w:r>
          <w:r>
            <w:fldChar w:fldCharType="begin"/>
          </w:r>
          <w:r>
            <w:instrText xml:space="preserve"> PAGEREF _Toc116984885 \h </w:instrText>
          </w:r>
          <w:r>
            <w:fldChar w:fldCharType="separate"/>
          </w:r>
          <w:r>
            <w:t>9</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"_Toc116984886" </w:instrText>
          </w:r>
          <w:r>
            <w:fldChar w:fldCharType="separate"/>
          </w:r>
          <w:r>
            <w:rPr>
              <w:rStyle w:val="13"/>
              <w:rFonts w:hint="eastAsia" w:ascii="Times New Roman"/>
            </w:rPr>
            <w:t>第三条</w:t>
          </w:r>
          <w:r>
            <w:rPr>
              <w:rStyle w:val="13"/>
              <w:rFonts w:ascii="Times New Roman"/>
            </w:rPr>
            <w:t xml:space="preserve">  </w:t>
          </w:r>
          <w:r>
            <w:rPr>
              <w:rStyle w:val="13"/>
              <w:rFonts w:hint="eastAsia" w:ascii="Times New Roman"/>
            </w:rPr>
            <w:t>理财产品的认购</w:t>
          </w:r>
          <w:r>
            <w:tab/>
          </w:r>
          <w:r>
            <w:fldChar w:fldCharType="begin"/>
          </w:r>
          <w:r>
            <w:instrText xml:space="preserve"> PAGEREF _Toc116984886 \h </w:instrText>
          </w:r>
          <w:r>
            <w:fldChar w:fldCharType="separate"/>
          </w:r>
          <w:r>
            <w:t>17</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"_Toc116984887" </w:instrText>
          </w:r>
          <w:r>
            <w:fldChar w:fldCharType="separate"/>
          </w:r>
          <w:r>
            <w:rPr>
              <w:rStyle w:val="13"/>
              <w:rFonts w:hint="eastAsia" w:ascii="Times New Roman"/>
            </w:rPr>
            <w:t>第四条</w:t>
          </w:r>
          <w:r>
            <w:rPr>
              <w:rStyle w:val="13"/>
              <w:rFonts w:ascii="Times New Roman"/>
            </w:rPr>
            <w:t xml:space="preserve">  </w:t>
          </w:r>
          <w:r>
            <w:rPr>
              <w:rStyle w:val="13"/>
              <w:rFonts w:hint="eastAsia" w:ascii="Times New Roman"/>
            </w:rPr>
            <w:t>理财产品的申购与赎回</w:t>
          </w:r>
          <w:r>
            <w:tab/>
          </w:r>
          <w:r>
            <w:fldChar w:fldCharType="begin"/>
          </w:r>
          <w:r>
            <w:instrText xml:space="preserve"> PAGEREF _Toc116984887 \h </w:instrText>
          </w:r>
          <w:r>
            <w:fldChar w:fldCharType="separate"/>
          </w:r>
          <w:r>
            <w:t>19</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"_Toc116984888" </w:instrText>
          </w:r>
          <w:r>
            <w:fldChar w:fldCharType="separate"/>
          </w:r>
          <w:r>
            <w:rPr>
              <w:rStyle w:val="13"/>
              <w:rFonts w:hint="eastAsia" w:ascii="Times New Roman"/>
            </w:rPr>
            <w:t>第五条</w:t>
          </w:r>
          <w:r>
            <w:rPr>
              <w:rStyle w:val="13"/>
              <w:rFonts w:ascii="Times New Roman"/>
            </w:rPr>
            <w:t xml:space="preserve">  </w:t>
          </w:r>
          <w:r>
            <w:rPr>
              <w:rStyle w:val="13"/>
              <w:rFonts w:hint="eastAsia" w:ascii="Times New Roman"/>
            </w:rPr>
            <w:t>理财产品的投资</w:t>
          </w:r>
          <w:r>
            <w:tab/>
          </w:r>
          <w:r>
            <w:fldChar w:fldCharType="begin"/>
          </w:r>
          <w:r>
            <w:instrText xml:space="preserve"> PAGEREF _Toc116984888 \h </w:instrText>
          </w:r>
          <w:r>
            <w:fldChar w:fldCharType="separate"/>
          </w:r>
          <w:r>
            <w:t>23</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"_Toc116984889" </w:instrText>
          </w:r>
          <w:r>
            <w:fldChar w:fldCharType="separate"/>
          </w:r>
          <w:r>
            <w:rPr>
              <w:rStyle w:val="13"/>
              <w:rFonts w:hint="eastAsia" w:ascii="Times New Roman"/>
            </w:rPr>
            <w:t>第六条</w:t>
          </w:r>
          <w:r>
            <w:rPr>
              <w:rStyle w:val="13"/>
              <w:rFonts w:ascii="Times New Roman"/>
            </w:rPr>
            <w:t xml:space="preserve">  </w:t>
          </w:r>
          <w:r>
            <w:rPr>
              <w:rStyle w:val="13"/>
              <w:rFonts w:hint="eastAsia" w:ascii="Times New Roman"/>
            </w:rPr>
            <w:t>理财产品的资产</w:t>
          </w:r>
          <w:r>
            <w:tab/>
          </w:r>
          <w:r>
            <w:fldChar w:fldCharType="begin"/>
          </w:r>
          <w:r>
            <w:instrText xml:space="preserve"> PAGEREF _Toc116984889 \h </w:instrText>
          </w:r>
          <w:r>
            <w:fldChar w:fldCharType="separate"/>
          </w:r>
          <w:r>
            <w:t>26</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"_Toc116984890" </w:instrText>
          </w:r>
          <w:r>
            <w:fldChar w:fldCharType="separate"/>
          </w:r>
          <w:r>
            <w:rPr>
              <w:rStyle w:val="13"/>
              <w:rFonts w:hint="eastAsia" w:ascii="Times New Roman"/>
            </w:rPr>
            <w:t>第七条</w:t>
          </w:r>
          <w:r>
            <w:rPr>
              <w:rStyle w:val="13"/>
              <w:rFonts w:ascii="Times New Roman"/>
            </w:rPr>
            <w:t xml:space="preserve">  </w:t>
          </w:r>
          <w:r>
            <w:rPr>
              <w:rStyle w:val="13"/>
              <w:rFonts w:hint="eastAsia" w:ascii="Times New Roman"/>
            </w:rPr>
            <w:t>理财产品项下资产的估值</w:t>
          </w:r>
          <w:r>
            <w:tab/>
          </w:r>
          <w:r>
            <w:fldChar w:fldCharType="begin"/>
          </w:r>
          <w:r>
            <w:instrText xml:space="preserve"> PAGEREF _Toc116984890 \h </w:instrText>
          </w:r>
          <w:r>
            <w:fldChar w:fldCharType="separate"/>
          </w:r>
          <w:r>
            <w:t>27</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"_Toc116984891" </w:instrText>
          </w:r>
          <w:r>
            <w:fldChar w:fldCharType="separate"/>
          </w:r>
          <w:r>
            <w:rPr>
              <w:rStyle w:val="13"/>
              <w:rFonts w:hint="eastAsia" w:ascii="Times New Roman"/>
            </w:rPr>
            <w:t>第八条</w:t>
          </w:r>
          <w:r>
            <w:rPr>
              <w:rStyle w:val="13"/>
              <w:rFonts w:ascii="Times New Roman"/>
            </w:rPr>
            <w:t xml:space="preserve">  </w:t>
          </w:r>
          <w:r>
            <w:rPr>
              <w:rStyle w:val="13"/>
              <w:rFonts w:hint="eastAsia" w:ascii="Times New Roman"/>
            </w:rPr>
            <w:t>理财产品的利益分配</w:t>
          </w:r>
          <w:r>
            <w:tab/>
          </w:r>
          <w:r>
            <w:fldChar w:fldCharType="begin"/>
          </w:r>
          <w:r>
            <w:instrText xml:space="preserve"> PAGEREF _Toc116984891 \h </w:instrText>
          </w:r>
          <w:r>
            <w:fldChar w:fldCharType="separate"/>
          </w:r>
          <w:r>
            <w:t>31</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"_Toc116984892" </w:instrText>
          </w:r>
          <w:r>
            <w:fldChar w:fldCharType="separate"/>
          </w:r>
          <w:r>
            <w:rPr>
              <w:rStyle w:val="13"/>
              <w:rFonts w:hint="eastAsia" w:ascii="Times New Roman"/>
            </w:rPr>
            <w:t>第九条</w:t>
          </w:r>
          <w:r>
            <w:rPr>
              <w:rStyle w:val="13"/>
              <w:rFonts w:ascii="Times New Roman"/>
            </w:rPr>
            <w:t xml:space="preserve">  </w:t>
          </w:r>
          <w:r>
            <w:rPr>
              <w:rStyle w:val="13"/>
              <w:rFonts w:hint="eastAsia" w:ascii="Times New Roman"/>
            </w:rPr>
            <w:t>理财产品的费用与税收</w:t>
          </w:r>
          <w:r>
            <w:tab/>
          </w:r>
          <w:r>
            <w:fldChar w:fldCharType="begin"/>
          </w:r>
          <w:r>
            <w:instrText xml:space="preserve"> PAGEREF _Toc116984892 \h </w:instrText>
          </w:r>
          <w:r>
            <w:fldChar w:fldCharType="separate"/>
          </w:r>
          <w:r>
            <w:t>32</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"_Toc116984893" </w:instrText>
          </w:r>
          <w:r>
            <w:fldChar w:fldCharType="separate"/>
          </w:r>
          <w:r>
            <w:rPr>
              <w:rStyle w:val="13"/>
              <w:rFonts w:hint="eastAsia"/>
            </w:rPr>
            <w:t>第十条</w:t>
          </w:r>
          <w:r>
            <w:rPr>
              <w:rStyle w:val="13"/>
            </w:rPr>
            <w:t xml:space="preserve">  </w:t>
          </w:r>
          <w:r>
            <w:rPr>
              <w:rStyle w:val="13"/>
              <w:rFonts w:hint="eastAsia"/>
            </w:rPr>
            <w:t>理财产品的终止与清算</w:t>
          </w:r>
          <w:r>
            <w:tab/>
          </w:r>
          <w:r>
            <w:fldChar w:fldCharType="begin"/>
          </w:r>
          <w:r>
            <w:instrText xml:space="preserve"> PAGEREF _Toc116984893 \h </w:instrText>
          </w:r>
          <w:r>
            <w:fldChar w:fldCharType="separate"/>
          </w:r>
          <w:r>
            <w:t>35</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"_Toc116984894" </w:instrText>
          </w:r>
          <w:r>
            <w:fldChar w:fldCharType="separate"/>
          </w:r>
          <w:r>
            <w:rPr>
              <w:rStyle w:val="13"/>
              <w:rFonts w:hint="eastAsia" w:ascii="Times New Roman"/>
            </w:rPr>
            <w:t>第十一条</w:t>
          </w:r>
          <w:r>
            <w:rPr>
              <w:rStyle w:val="13"/>
              <w:rFonts w:ascii="Times New Roman"/>
            </w:rPr>
            <w:t xml:space="preserve">  </w:t>
          </w:r>
          <w:r>
            <w:rPr>
              <w:rStyle w:val="13"/>
              <w:rFonts w:hint="eastAsia" w:ascii="Times New Roman"/>
            </w:rPr>
            <w:t>理财产品的信息披露</w:t>
          </w:r>
          <w:r>
            <w:tab/>
          </w:r>
          <w:r>
            <w:fldChar w:fldCharType="begin"/>
          </w:r>
          <w:r>
            <w:instrText xml:space="preserve"> PAGEREF _Toc116984894 \h </w:instrText>
          </w:r>
          <w:r>
            <w:fldChar w:fldCharType="separate"/>
          </w:r>
          <w:r>
            <w:t>37</w:t>
          </w:r>
          <w:r>
            <w:fldChar w:fldCharType="end"/>
          </w:r>
          <w:r>
            <w:fldChar w:fldCharType="end"/>
          </w:r>
        </w:p>
        <w:p>
          <w:pPr>
            <w:pStyle w:val="6"/>
            <w:rPr>
              <w:rFonts w:asciiTheme="minorHAnsi" w:hAnsiTheme="minorHAnsi" w:eastAsiaTheme="minorEastAsia" w:cstheme="minorBidi"/>
              <w:kern w:val="2"/>
              <w:sz w:val="21"/>
            </w:rPr>
          </w:pPr>
          <w:r>
            <w:fldChar w:fldCharType="begin"/>
          </w:r>
          <w:r>
            <w:instrText xml:space="preserve"> HYPERLINK \l "_Toc116984895" </w:instrText>
          </w:r>
          <w:r>
            <w:fldChar w:fldCharType="separate"/>
          </w:r>
          <w:r>
            <w:rPr>
              <w:rStyle w:val="13"/>
              <w:rFonts w:hint="eastAsia" w:ascii="Times New Roman"/>
            </w:rPr>
            <w:t>第十二条</w:t>
          </w:r>
          <w:r>
            <w:rPr>
              <w:rStyle w:val="13"/>
              <w:rFonts w:ascii="Times New Roman"/>
            </w:rPr>
            <w:t xml:space="preserve">  </w:t>
          </w:r>
          <w:r>
            <w:rPr>
              <w:rStyle w:val="13"/>
              <w:rFonts w:hint="eastAsia" w:ascii="Times New Roman"/>
            </w:rPr>
            <w:t>理财产品的风险揭示</w:t>
          </w:r>
          <w:r>
            <w:tab/>
          </w:r>
          <w:r>
            <w:fldChar w:fldCharType="begin"/>
          </w:r>
          <w:r>
            <w:instrText xml:space="preserve"> PAGEREF _Toc116984895 \h </w:instrText>
          </w:r>
          <w:r>
            <w:fldChar w:fldCharType="separate"/>
          </w:r>
          <w:r>
            <w:t>40</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widowControl/>
        <w:spacing w:line="360" w:lineRule="auto"/>
        <w:jc w:val="left"/>
        <w:rPr>
          <w:rFonts w:ascii="Times New Roman"/>
          <w:sz w:val="30"/>
        </w:rPr>
      </w:pPr>
    </w:p>
    <w:p>
      <w:pPr>
        <w:pStyle w:val="2"/>
        <w:spacing w:before="0" w:after="0" w:line="360" w:lineRule="auto"/>
        <w:jc w:val="center"/>
        <w:rPr>
          <w:rFonts w:ascii="Times New Roman"/>
          <w:sz w:val="30"/>
        </w:rPr>
      </w:pPr>
      <w:bookmarkStart w:id="67" w:name="_Toc92377130"/>
      <w:bookmarkStart w:id="68" w:name="_Toc116984884"/>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指投资者在一段特定期间内提交预约申购申请，该预约申购申请在销售文件约定的申购申请日内自动转化为正式的申购申请。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指投资者在一段特定期间内提交预约赎回申请，该预约赎回申请在销售文件约定的赎回申请日内自动转化为正式的赎回申请。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（11）★投资周期：投资周期指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5</w:t>
      </w:r>
      <w:r>
        <w:rPr>
          <w:rFonts w:hint="eastAsia" w:asciiTheme="majorEastAsia" w:hAnsiTheme="majorEastAsia" w:eastAsiaTheme="majorEastAsia"/>
          <w:bCs/>
          <w:color w:val="auto"/>
          <w:sz w:val="18"/>
          <w:szCs w:val="18"/>
        </w:rPr>
        <w:t>）预约申购申请日：指投资者在预约申购期内任意一日提出预约申购申请的当日。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）预约赎回申请日：指投资者在预约</w:t>
      </w:r>
      <w:r>
        <w:rPr>
          <w:rFonts w:asciiTheme="majorEastAsia" w:hAnsiTheme="majorEastAsia" w:eastAsiaTheme="majorEastAsia"/>
          <w:bCs/>
          <w:color w:val="auto"/>
          <w:sz w:val="18"/>
          <w:szCs w:val="18"/>
        </w:rPr>
        <w:t>赎回</w:t>
      </w:r>
      <w:r>
        <w:rPr>
          <w:rFonts w:hint="eastAsia" w:asciiTheme="majorEastAsia" w:hAnsiTheme="majorEastAsia" w:eastAsiaTheme="majorEastAsia"/>
          <w:bCs/>
          <w:color w:val="auto"/>
          <w:sz w:val="18"/>
          <w:szCs w:val="18"/>
        </w:rPr>
        <w:t>期内任意一日提出预约赎回申请的当日。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20</w:t>
      </w:r>
      <w:r>
        <w:rPr>
          <w:rFonts w:hint="eastAsia" w:asciiTheme="majorEastAsia" w:hAnsiTheme="majorEastAsia" w:eastAsiaTheme="majorEastAsia"/>
          <w:bCs/>
          <w:color w:val="auto"/>
          <w:sz w:val="18"/>
          <w:szCs w:val="18"/>
        </w:rPr>
        <w:t>）赎回日：指产品管理人接受投资者赎回申请的当日。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23</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）适用法律：指在理财销售文件签署日和履行过程中，适用中华人民共和国法律（为本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69" w:name="_Toc79154665"/>
      <w:bookmarkStart w:id="70" w:name="_Toc92377131"/>
      <w:bookmarkStart w:id="71" w:name="_Toc116984885"/>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【兴业银行天天万利宝稳利2号净值型理财产品B款</w:t>
            </w:r>
            <w:r>
              <w:rPr>
                <w:rFonts w:ascii="宋体" w:hAnsi="宋体"/>
                <w:bCs/>
                <w:sz w:val="18"/>
                <w:szCs w:val="18"/>
              </w:rPr>
              <w:cr/>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【稳利恒盈B 6个月】</w:t>
            </w:r>
            <w:r>
              <w:rPr>
                <w:rFonts w:hint="eastAsia" w:ascii="宋体" w:hAnsi="宋体"/>
                <w:bCs/>
                <w:color w:val="000000" w:themeColor="text1"/>
                <w:sz w:val="18"/>
                <w:szCs w:val="18"/>
                <w14:textFill>
                  <w14:solidFill>
                    <w14:schemeClr w14:val="tx1"/>
                  </w14:solidFill>
                </w14:textFill>
              </w:rPr>
              <w:t>（适用【A】类份额）</w:t>
            </w:r>
          </w:p>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【稳利恒盈B 6个月B】</w:t>
            </w:r>
            <w:r>
              <w:rPr>
                <w:rFonts w:hint="eastAsia" w:ascii="宋体" w:hAnsi="宋体"/>
                <w:bCs/>
                <w:color w:val="000000" w:themeColor="text1"/>
                <w:sz w:val="18"/>
                <w:szCs w:val="18"/>
                <w14:textFill>
                  <w14:solidFill>
                    <w14:schemeClr w14:val="tx1"/>
                  </w14:solidFill>
                </w14:textFill>
              </w:rPr>
              <w:t>（适用【B】类份额）</w:t>
            </w:r>
          </w:p>
          <w:p>
            <w:pPr>
              <w:spacing w:line="360" w:lineRule="auto"/>
              <w:jc w:val="left"/>
              <w:rPr>
                <w:rFonts w:ascii="宋体" w:hAnsi="宋体"/>
                <w:kern w:val="0"/>
                <w:sz w:val="22"/>
              </w:rPr>
            </w:pPr>
            <w:r>
              <w:rPr>
                <w:rFonts w:hint="eastAsia" w:ascii="宋体" w:hAnsi="宋体"/>
                <w:bCs/>
                <w:sz w:val="18"/>
                <w:szCs w:val="18"/>
              </w:rPr>
              <w:t>【</w:t>
            </w:r>
            <w:r>
              <w:rPr>
                <w:rFonts w:ascii="宋体" w:hAnsi="宋体"/>
                <w:bCs/>
                <w:sz w:val="18"/>
                <w:szCs w:val="18"/>
              </w:rPr>
              <w:t>稳利恒盈B 6个月（惠享款）</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w:t>
            </w:r>
            <w:r>
              <w:rPr>
                <w:rFonts w:ascii="宋体" w:hAnsi="宋体"/>
                <w:bCs/>
                <w:color w:val="000000" w:themeColor="text1"/>
                <w:sz w:val="18"/>
                <w:szCs w:val="18"/>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宋体" w:hAnsi="宋体"/>
                <w:bCs/>
                <w:sz w:val="18"/>
                <w:szCs w:val="18"/>
              </w:rPr>
              <w:t>【Z7002020000019】注：投资者可依据理财产品登记编码在中国理财网查询产品信息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【9K21802</w:t>
            </w:r>
            <w:r>
              <w:rPr>
                <w:rFonts w:hint="eastAsia" w:ascii="宋体" w:hAnsi="宋体"/>
                <w:bCs/>
                <w:color w:val="000000" w:themeColor="text1"/>
                <w:sz w:val="18"/>
                <w:szCs w:val="18"/>
                <w14:textFill>
                  <w14:solidFill>
                    <w14:schemeClr w14:val="tx1"/>
                  </w14:solidFill>
                </w14:textFill>
              </w:rPr>
              <w:t>2</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9K21802</w:t>
            </w:r>
            <w:r>
              <w:rPr>
                <w:rFonts w:hint="eastAsia" w:ascii="宋体" w:hAnsi="宋体"/>
                <w:bCs/>
                <w:sz w:val="18"/>
                <w:szCs w:val="18"/>
              </w:rPr>
              <w:t>2】（适用【A】类份额）</w:t>
            </w:r>
          </w:p>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9K21812</w:t>
            </w:r>
            <w:r>
              <w:rPr>
                <w:rFonts w:hint="eastAsia" w:ascii="宋体" w:hAnsi="宋体"/>
                <w:bCs/>
                <w:sz w:val="18"/>
                <w:szCs w:val="18"/>
              </w:rPr>
              <w:t>2】（适用【B】类份额）</w:t>
            </w:r>
          </w:p>
          <w:p>
            <w:pPr>
              <w:spacing w:line="360" w:lineRule="auto"/>
              <w:jc w:val="left"/>
              <w:rPr>
                <w:rFonts w:hAnsi="宋体"/>
                <w:sz w:val="18"/>
                <w:szCs w:val="18"/>
              </w:rPr>
            </w:pPr>
            <w:r>
              <w:rPr>
                <w:rFonts w:hint="eastAsia" w:ascii="宋体" w:hAnsi="宋体"/>
                <w:bCs/>
                <w:sz w:val="18"/>
                <w:szCs w:val="18"/>
              </w:rPr>
              <w:t>【</w:t>
            </w:r>
            <w:r>
              <w:rPr>
                <w:rFonts w:ascii="宋体" w:hAnsi="宋体"/>
                <w:bCs/>
                <w:sz w:val="18"/>
                <w:szCs w:val="18"/>
              </w:rPr>
              <w:t>9K21822</w:t>
            </w:r>
            <w:r>
              <w:rPr>
                <w:rFonts w:hint="eastAsia" w:ascii="宋体" w:hAnsi="宋体"/>
                <w:bCs/>
                <w:sz w:val="18"/>
                <w:szCs w:val="18"/>
              </w:rPr>
              <w:t>2】（适用【</w:t>
            </w:r>
            <w:r>
              <w:rPr>
                <w:rFonts w:ascii="宋体" w:hAnsi="宋体"/>
                <w:bCs/>
                <w:sz w:val="18"/>
                <w:szCs w:val="18"/>
              </w:rPr>
              <w:t>C</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宋体" w:hAnsi="宋体"/>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sz w:val="18"/>
                <w:szCs w:val="18"/>
              </w:rPr>
              <w:t>特别提示：当销售机构销售产品风险评级为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规模为【30】亿元，最小成立规模为【/】亿元。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宋体" w:hAnsi="宋体"/>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【2018】年【8】月【14】日【11：00】至【2018】年【8】月【20】日【15：45】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】年【8</w:t>
            </w:r>
            <w:r>
              <w:rPr>
                <w:rFonts w:hint="eastAsia" w:cs="Times New Roman" w:asciiTheme="minorEastAsia" w:hAnsiTheme="minorEastAsia"/>
                <w:sz w:val="18"/>
                <w:szCs w:val="18"/>
              </w:rPr>
              <w:t>】月【21】日（遇节假日顺延）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inorEastAsia" w:hAnsiTheme="minorEastAsia" w:eastAsiaTheme="minorEastAsia"/>
                <w:bCs/>
                <w:color w:val="000000" w:themeColor="text1"/>
                <w:sz w:val="18"/>
                <w:szCs w:val="18"/>
                <w14:textFill>
                  <w14:solidFill>
                    <w14:schemeClr w14:val="tx1"/>
                  </w14:solidFill>
                </w14:textFill>
              </w:rPr>
              <w:t>1</w:t>
            </w:r>
            <w:r>
              <w:rPr>
                <w:rFonts w:asciiTheme="majorEastAsia" w:hAnsiTheme="majorEastAsia" w:eastAsiaTheme="majorEastAsia"/>
                <w:bCs/>
                <w:color w:val="000000" w:themeColor="text1"/>
                <w:sz w:val="18"/>
                <w:szCs w:val="18"/>
                <w14:textFill>
                  <w14:solidFill>
                    <w14:schemeClr w14:val="tx1"/>
                  </w14:solidFill>
                </w14:textFill>
              </w:rPr>
              <w:t>.投资周期的设置</w:t>
            </w:r>
          </w:p>
          <w:p>
            <w:pPr>
              <w:spacing w:line="360" w:lineRule="auto"/>
              <w:rPr>
                <w:rFonts w:asciiTheme="minorEastAsia" w:hAnsiTheme="minorEastAsia" w:eastAsiaTheme="min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投资周期指</w:t>
            </w:r>
            <w:r>
              <w:rPr>
                <w:rFonts w:hint="eastAsia" w:asciiTheme="minorEastAsia" w:hAnsiTheme="minorEastAsia" w:eastAsiaTheme="minorEastAsia"/>
                <w:bCs/>
                <w:color w:val="000000" w:themeColor="text1"/>
                <w:sz w:val="18"/>
                <w:szCs w:val="18"/>
                <w14:textFill>
                  <w14:solidFill>
                    <w14:schemeClr w14:val="tx1"/>
                  </w14:solidFill>
                </w14:textFill>
              </w:rPr>
              <w:t>投资者</w:t>
            </w:r>
            <w:r>
              <w:rPr>
                <w:rFonts w:asciiTheme="minorEastAsia" w:hAnsiTheme="minorEastAsia" w:eastAsiaTheme="minorEastAsia"/>
                <w:bCs/>
                <w:color w:val="000000" w:themeColor="text1"/>
                <w:sz w:val="18"/>
                <w:szCs w:val="18"/>
                <w14:textFill>
                  <w14:solidFill>
                    <w14:schemeClr w14:val="tx1"/>
                  </w14:solidFill>
                </w14:textFill>
              </w:rPr>
              <w:t>持有理财产品份额</w:t>
            </w:r>
            <w:r>
              <w:rPr>
                <w:rFonts w:hint="eastAsia" w:asciiTheme="minorEastAsia" w:hAnsiTheme="minorEastAsia" w:eastAsiaTheme="minorEastAsia"/>
                <w:bCs/>
                <w:color w:val="000000" w:themeColor="text1"/>
                <w:sz w:val="18"/>
                <w:szCs w:val="18"/>
                <w14:textFill>
                  <w14:solidFill>
                    <w14:schemeClr w14:val="tx1"/>
                  </w14:solidFill>
                </w14:textFill>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（2）每一个投资周期：包含投资者持有理财产品份额的认购确认日或申购确认日至该产品份额的最近一个赎回确认日或产品终止日的期间</w:t>
            </w:r>
            <w:r>
              <w:rPr>
                <w:rFonts w:hint="eastAsia" w:cs="仿宋_GB2312" w:asciiTheme="majorEastAsia" w:hAnsiTheme="majorEastAsia" w:eastAsiaTheme="majorEastAsia"/>
                <w:color w:val="000000" w:themeColor="text1"/>
                <w:kern w:val="0"/>
                <w:sz w:val="18"/>
                <w:szCs w:val="18"/>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inorEastAsia" w:hAnsiTheme="minorEastAsia" w:eastAsiaTheme="minorEastAsia"/>
                <w:bCs/>
                <w:color w:val="000000" w:themeColor="text1"/>
                <w:sz w:val="18"/>
                <w:szCs w:val="18"/>
                <w14:textFill>
                  <w14:solidFill>
                    <w14:schemeClr w14:val="tx1"/>
                  </w14:solidFill>
                </w14:textFill>
              </w:rPr>
              <w:t>（3</w:t>
            </w:r>
            <w:r>
              <w:rPr>
                <w:rFonts w:asciiTheme="minorEastAsia" w:hAnsiTheme="minorEastAsia" w:eastAsiaTheme="min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正常情况下，本产品的一个投资周期为【6个月】</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投资周期存在长于或短于【6个月】的可能，投资者具体投资周期以本产品说明书“申购</w:t>
            </w:r>
            <w:r>
              <w:rPr>
                <w:rFonts w:asciiTheme="majorEastAsia" w:hAnsiTheme="majorEastAsia" w:eastAsiaTheme="majorEastAsia"/>
                <w:bCs/>
                <w:color w:val="000000" w:themeColor="text1"/>
                <w:sz w:val="18"/>
                <w:szCs w:val="18"/>
                <w14:textFill>
                  <w14:solidFill>
                    <w14:schemeClr w14:val="tx1"/>
                  </w14:solidFill>
                </w14:textFill>
              </w:rPr>
              <w:t>/赎回安排</w:t>
            </w:r>
            <w:r>
              <w:rPr>
                <w:rFonts w:hint="eastAsia" w:asciiTheme="majorEastAsia" w:hAnsiTheme="majorEastAsia" w:eastAsiaTheme="majorEastAsia"/>
                <w:bCs/>
                <w:color w:val="000000" w:themeColor="text1"/>
                <w:sz w:val="18"/>
                <w:szCs w:val="18"/>
                <w14:textFill>
                  <w14:solidFill>
                    <w14:schemeClr w14:val="tx1"/>
                  </w14:solidFill>
                </w14:textFill>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2.投资周期的参与</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14:textFill>
                  <w14:solidFill>
                    <w14:schemeClr w14:val="tx1"/>
                  </w14:solidFill>
                </w14:textFill>
              </w:rPr>
            </w:pPr>
            <w:r>
              <w:rPr>
                <w:rFonts w:hint="eastAsia" w:cs="仿宋_GB2312" w:asciiTheme="majorEastAsia" w:hAnsiTheme="majorEastAsia" w:eastAsiaTheme="majorEastAsia"/>
                <w:color w:val="000000" w:themeColor="text1"/>
                <w:kern w:val="0"/>
                <w:sz w:val="18"/>
                <w:szCs w:val="18"/>
                <w14:textFill>
                  <w14:solidFill>
                    <w14:schemeClr w14:val="tx1"/>
                  </w14:solidFill>
                </w14:textFill>
              </w:rPr>
              <w:t>（</w:t>
            </w:r>
            <w:r>
              <w:rPr>
                <w:rFonts w:cs="仿宋_GB2312" w:asciiTheme="majorEastAsia" w:hAnsiTheme="majorEastAsia" w:eastAsiaTheme="majorEastAsia"/>
                <w:color w:val="000000" w:themeColor="text1"/>
                <w:kern w:val="0"/>
                <w:sz w:val="18"/>
                <w:szCs w:val="18"/>
                <w14:textFill>
                  <w14:solidFill>
                    <w14:schemeClr w14:val="tx1"/>
                  </w14:solidFill>
                </w14:textFill>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14:textFill>
                  <w14:solidFill>
                    <w14:schemeClr w14:val="tx1"/>
                  </w14:solidFill>
                </w14:textFill>
              </w:rPr>
              <w:t>本产品</w:t>
            </w:r>
            <w:r>
              <w:rPr>
                <w:rFonts w:cs="仿宋_GB2312" w:asciiTheme="majorEastAsia" w:hAnsiTheme="majorEastAsia" w:eastAsiaTheme="majorEastAsia"/>
                <w:color w:val="000000" w:themeColor="text1"/>
                <w:kern w:val="0"/>
                <w:sz w:val="18"/>
                <w:szCs w:val="18"/>
                <w14:textFill>
                  <w14:solidFill>
                    <w14:schemeClr w14:val="tx1"/>
                  </w14:solidFill>
                </w14:textFill>
              </w:rPr>
              <w:t>成立后管理人可根据募集情况设置预约申购期</w:t>
            </w:r>
            <w:r>
              <w:rPr>
                <w:rFonts w:hint="eastAsia" w:cs="仿宋_GB2312" w:asciiTheme="majorEastAsia" w:hAnsiTheme="majorEastAsia" w:eastAsiaTheme="majorEastAsia"/>
                <w:color w:val="000000" w:themeColor="text1"/>
                <w:kern w:val="0"/>
                <w:sz w:val="18"/>
                <w:szCs w:val="18"/>
                <w14:textFill>
                  <w14:solidFill>
                    <w14:schemeClr w14:val="tx1"/>
                  </w14:solidFill>
                </w14:textFill>
              </w:rPr>
              <w:t>。</w:t>
            </w:r>
            <w:r>
              <w:rPr>
                <w:rFonts w:cs="仿宋_GB2312" w:asciiTheme="majorEastAsia" w:hAnsiTheme="majorEastAsia" w:eastAsiaTheme="majorEastAsia"/>
                <w:color w:val="000000" w:themeColor="text1"/>
                <w:kern w:val="0"/>
                <w:sz w:val="18"/>
                <w:szCs w:val="18"/>
                <w14:textFill>
                  <w14:solidFill>
                    <w14:schemeClr w14:val="tx1"/>
                  </w14:solidFill>
                </w14:textFill>
              </w:rPr>
              <w:t>在理财产品运作一个完整的投资周期</w:t>
            </w:r>
            <w:r>
              <w:rPr>
                <w:rFonts w:hint="eastAsia" w:cs="仿宋_GB2312" w:asciiTheme="majorEastAsia" w:hAnsiTheme="majorEastAsia" w:eastAsiaTheme="majorEastAsia"/>
                <w:color w:val="000000" w:themeColor="text1"/>
                <w:kern w:val="0"/>
                <w:sz w:val="18"/>
                <w:szCs w:val="18"/>
                <w14:textFill>
                  <w14:solidFill>
                    <w14:schemeClr w14:val="tx1"/>
                  </w14:solidFill>
                </w14:textFill>
              </w:rPr>
              <w:t>结束前后，</w:t>
            </w:r>
            <w:r>
              <w:rPr>
                <w:rFonts w:cs="仿宋_GB2312" w:asciiTheme="majorEastAsia" w:hAnsiTheme="majorEastAsia" w:eastAsiaTheme="majorEastAsia"/>
                <w:color w:val="000000" w:themeColor="text1"/>
                <w:kern w:val="0"/>
                <w:sz w:val="18"/>
                <w:szCs w:val="18"/>
                <w14:textFill>
                  <w14:solidFill>
                    <w14:schemeClr w14:val="tx1"/>
                  </w14:solidFill>
                </w14:textFill>
              </w:rPr>
              <w:t>管理人可设置预约申购期</w:t>
            </w:r>
            <w:r>
              <w:rPr>
                <w:rFonts w:hint="eastAsia" w:cs="仿宋_GB2312" w:asciiTheme="majorEastAsia" w:hAnsiTheme="majorEastAsia" w:eastAsiaTheme="majorEastAsia"/>
                <w:color w:val="000000" w:themeColor="text1"/>
                <w:kern w:val="0"/>
                <w:sz w:val="18"/>
                <w:szCs w:val="18"/>
                <w14:textFill>
                  <w14:solidFill>
                    <w14:schemeClr w14:val="tx1"/>
                  </w14:solidFill>
                </w14:textFill>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14:textFill>
                  <w14:solidFill>
                    <w14:schemeClr w14:val="tx1"/>
                  </w14:solidFill>
                </w14:textFill>
              </w:rPr>
            </w:pPr>
            <w:r>
              <w:rPr>
                <w:rFonts w:hint="eastAsia" w:asciiTheme="minorEastAsia" w:hAnsiTheme="minorEastAsia" w:eastAsiaTheme="minorEastAsia"/>
                <w:bCs/>
                <w:color w:val="000000" w:themeColor="text1"/>
                <w:sz w:val="18"/>
                <w:szCs w:val="18"/>
                <w14:textFill>
                  <w14:solidFill>
                    <w14:schemeClr w14:val="tx1"/>
                  </w14:solidFill>
                </w14:textFill>
              </w:rPr>
              <w:t>3.投资周期的退出</w:t>
            </w:r>
          </w:p>
          <w:p>
            <w:pPr>
              <w:spacing w:line="360" w:lineRule="auto"/>
              <w:rPr>
                <w:rFonts w:asciiTheme="minorEastAsia" w:hAnsiTheme="minorEastAsia" w:eastAsiaTheme="minorEastAsia"/>
                <w:bCs/>
                <w:color w:val="000000" w:themeColor="text1"/>
                <w:sz w:val="18"/>
                <w:szCs w:val="18"/>
                <w14:textFill>
                  <w14:solidFill>
                    <w14:schemeClr w14:val="tx1"/>
                  </w14:solidFill>
                </w14:textFill>
              </w:rPr>
            </w:pPr>
            <w:r>
              <w:rPr>
                <w:rFonts w:hint="eastAsia" w:asciiTheme="minorEastAsia" w:hAnsiTheme="minorEastAsia" w:eastAsiaTheme="minorEastAsia"/>
                <w:bCs/>
                <w:color w:val="000000" w:themeColor="text1"/>
                <w:sz w:val="18"/>
                <w:szCs w:val="18"/>
                <w14:textFill>
                  <w14:solidFill>
                    <w14:schemeClr w14:val="tx1"/>
                  </w14:solidFill>
                </w14:textFill>
              </w:rPr>
              <w:t>（1）本产品成立后，投资者可通过预约赎回方式退出本产品的投资周期。在</w:t>
            </w:r>
            <w:r>
              <w:rPr>
                <w:rFonts w:asciiTheme="minorEastAsia" w:hAnsiTheme="minorEastAsia" w:eastAsiaTheme="minorEastAsia"/>
                <w:bCs/>
                <w:color w:val="000000" w:themeColor="text1"/>
                <w:sz w:val="18"/>
                <w:szCs w:val="18"/>
                <w14:textFill>
                  <w14:solidFill>
                    <w14:schemeClr w14:val="tx1"/>
                  </w14:solidFill>
                </w14:textFill>
              </w:rPr>
              <w:t>投资者持有的理财产品份额</w:t>
            </w:r>
            <w:r>
              <w:rPr>
                <w:rFonts w:hint="eastAsia" w:asciiTheme="minorEastAsia" w:hAnsiTheme="minorEastAsia" w:eastAsiaTheme="minorEastAsia"/>
                <w:bCs/>
                <w:color w:val="000000" w:themeColor="text1"/>
                <w:sz w:val="18"/>
                <w:szCs w:val="18"/>
                <w14:textFill>
                  <w14:solidFill>
                    <w14:schemeClr w14:val="tx1"/>
                  </w14:solidFill>
                </w14:textFill>
              </w:rPr>
              <w:t>在运作一个完整的投资周期结束前，投资者可在预约赎回期内</w:t>
            </w:r>
            <w:r>
              <w:rPr>
                <w:rFonts w:asciiTheme="minorEastAsia" w:hAnsiTheme="minorEastAsia" w:eastAsiaTheme="minorEastAsia"/>
                <w:bCs/>
                <w:color w:val="000000" w:themeColor="text1"/>
                <w:sz w:val="18"/>
                <w:szCs w:val="18"/>
                <w14:textFill>
                  <w14:solidFill>
                    <w14:schemeClr w14:val="tx1"/>
                  </w14:solidFill>
                </w14:textFill>
              </w:rPr>
              <w:t>提出预约</w:t>
            </w:r>
            <w:r>
              <w:rPr>
                <w:rFonts w:hint="eastAsia" w:asciiTheme="minorEastAsia" w:hAnsiTheme="minorEastAsia" w:eastAsiaTheme="minorEastAsia"/>
                <w:bCs/>
                <w:color w:val="000000" w:themeColor="text1"/>
                <w:sz w:val="18"/>
                <w:szCs w:val="18"/>
                <w14:textFill>
                  <w14:solidFill>
                    <w14:schemeClr w14:val="tx1"/>
                  </w14:solidFill>
                </w14:textFill>
              </w:rPr>
              <w:t>赎回申请，如未赎回将进入下一个投资周期继续运作。</w:t>
            </w:r>
          </w:p>
          <w:p>
            <w:pPr>
              <w:spacing w:line="360" w:lineRule="auto"/>
              <w:rPr>
                <w:rFonts w:asciiTheme="minorEastAsia" w:hAnsiTheme="minorEastAsia" w:eastAsiaTheme="minorEastAsia"/>
                <w:bCs/>
                <w:color w:val="000000" w:themeColor="text1"/>
                <w:sz w:val="18"/>
                <w:szCs w:val="18"/>
                <w14:textFill>
                  <w14:solidFill>
                    <w14:schemeClr w14:val="tx1"/>
                  </w14:solidFill>
                </w14:textFill>
              </w:rPr>
            </w:pPr>
            <w:r>
              <w:rPr>
                <w:rFonts w:hint="eastAsia" w:asciiTheme="minorEastAsia" w:hAnsiTheme="minorEastAsia" w:eastAsiaTheme="minorEastAsia"/>
                <w:bCs/>
                <w:color w:val="000000" w:themeColor="text1"/>
                <w:sz w:val="18"/>
                <w:szCs w:val="18"/>
                <w14:textFill>
                  <w14:solidFill>
                    <w14:schemeClr w14:val="tx1"/>
                  </w14:solidFill>
                </w14:textFill>
              </w:rPr>
              <w:t>（2）在</w:t>
            </w:r>
            <w:r>
              <w:rPr>
                <w:rFonts w:asciiTheme="minorEastAsia" w:hAnsiTheme="minorEastAsia" w:eastAsiaTheme="minorEastAsia"/>
                <w:bCs/>
                <w:color w:val="000000" w:themeColor="text1"/>
                <w:sz w:val="18"/>
                <w:szCs w:val="18"/>
                <w14:textFill>
                  <w14:solidFill>
                    <w14:schemeClr w14:val="tx1"/>
                  </w14:solidFill>
                </w14:textFill>
              </w:rPr>
              <w:t>投资者持有的理财产品份额</w:t>
            </w:r>
            <w:r>
              <w:rPr>
                <w:rFonts w:hint="eastAsia" w:asciiTheme="minorEastAsia" w:hAnsiTheme="minorEastAsia" w:eastAsiaTheme="minorEastAsia"/>
                <w:bCs/>
                <w:color w:val="000000" w:themeColor="text1"/>
                <w:sz w:val="18"/>
                <w:szCs w:val="18"/>
                <w14:textFill>
                  <w14:solidFill>
                    <w14:schemeClr w14:val="tx1"/>
                  </w14:solidFill>
                </w14:textFill>
              </w:rPr>
              <w:t>在运作一个完整的投资周期后，投资者</w:t>
            </w:r>
            <w:r>
              <w:rPr>
                <w:rFonts w:asciiTheme="minorEastAsia" w:hAnsiTheme="minorEastAsia" w:eastAsiaTheme="minorEastAsia"/>
                <w:bCs/>
                <w:color w:val="000000" w:themeColor="text1"/>
                <w:sz w:val="18"/>
                <w:szCs w:val="18"/>
                <w14:textFill>
                  <w14:solidFill>
                    <w14:schemeClr w14:val="tx1"/>
                  </w14:solidFill>
                </w14:textFill>
              </w:rPr>
              <w:t>也可以继续</w:t>
            </w:r>
            <w:r>
              <w:rPr>
                <w:rFonts w:hint="eastAsia" w:asciiTheme="minorEastAsia" w:hAnsiTheme="minorEastAsia" w:eastAsiaTheme="minorEastAsia"/>
                <w:bCs/>
                <w:color w:val="000000" w:themeColor="text1"/>
                <w:sz w:val="18"/>
                <w:szCs w:val="18"/>
                <w14:textFill>
                  <w14:solidFill>
                    <w14:schemeClr w14:val="tx1"/>
                  </w14:solidFill>
                </w14:textFill>
              </w:rPr>
              <w:t>持有理财产品份额进入</w:t>
            </w:r>
            <w:r>
              <w:rPr>
                <w:rFonts w:asciiTheme="minorEastAsia" w:hAnsiTheme="minorEastAsia" w:eastAsiaTheme="minorEastAsia"/>
                <w:bCs/>
                <w:color w:val="000000" w:themeColor="text1"/>
                <w:sz w:val="18"/>
                <w:szCs w:val="18"/>
                <w14:textFill>
                  <w14:solidFill>
                    <w14:schemeClr w14:val="tx1"/>
                  </w14:solidFill>
                </w14:textFill>
              </w:rPr>
              <w:t>下一个投资周期</w:t>
            </w:r>
            <w:r>
              <w:rPr>
                <w:rFonts w:hint="eastAsia" w:asciiTheme="minorEastAsia" w:hAnsiTheme="minorEastAsia" w:eastAsiaTheme="minorEastAsia"/>
                <w:bCs/>
                <w:color w:val="000000" w:themeColor="text1"/>
                <w:sz w:val="18"/>
                <w:szCs w:val="18"/>
                <w14:textFill>
                  <w14:solidFill>
                    <w14:schemeClr w14:val="tx1"/>
                  </w14:solidFill>
                </w14:textFill>
              </w:rPr>
              <w:t>。</w:t>
            </w:r>
          </w:p>
          <w:p>
            <w:pPr>
              <w:spacing w:line="360" w:lineRule="auto"/>
              <w:rPr>
                <w:rFonts w:asciiTheme="minorEastAsia" w:hAnsiTheme="minorEastAsia" w:eastAsiaTheme="minorEastAsia"/>
                <w:bCs/>
                <w:color w:val="000000" w:themeColor="text1"/>
                <w:sz w:val="18"/>
                <w:szCs w:val="18"/>
                <w14:textFill>
                  <w14:solidFill>
                    <w14:schemeClr w14:val="tx1"/>
                  </w14:solidFill>
                </w14:textFill>
              </w:rPr>
            </w:pPr>
            <w:r>
              <w:rPr>
                <w:rFonts w:hint="eastAsia" w:asciiTheme="minorEastAsia" w:hAnsiTheme="minorEastAsia" w:eastAsiaTheme="minorEastAsia"/>
                <w:bCs/>
                <w:color w:val="000000" w:themeColor="text1"/>
                <w:sz w:val="18"/>
                <w:szCs w:val="18"/>
                <w14:textFill>
                  <w14:solidFill>
                    <w14:schemeClr w14:val="tx1"/>
                  </w14:solidFill>
                </w14:textFill>
              </w:rPr>
              <w:t>（3）</w:t>
            </w:r>
            <w:r>
              <w:rPr>
                <w:rFonts w:hint="eastAsia" w:asciiTheme="majorEastAsia" w:hAnsiTheme="majorEastAsia" w:eastAsiaTheme="majorEastAsia"/>
                <w:bCs/>
                <w:sz w:val="18"/>
                <w:szCs w:val="18"/>
              </w:rPr>
              <w:t>如果投资者在本产品提前终止时仍有未赎回的份额，则产品管理人将按照《产品说明书》“第十条 理财产品的终止与清算（二）理财产品的清算”条款处理。</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4</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产品管理人有权调整投资周期，调整后的投资周期以产品管理人发布的公告为准。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14:textFill>
                  <w14:solidFill>
                    <w14:schemeClr w14:val="tx1"/>
                  </w14:solidFill>
                </w14:textFill>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bCs/>
                <w:color w:val="000000" w:themeColor="text1"/>
                <w:sz w:val="18"/>
                <w:szCs w:val="18"/>
                <w14:textFill>
                  <w14:solidFill>
                    <w14:schemeClr w14:val="tx1"/>
                  </w14:solidFill>
                </w14:textFill>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预约申购安排</w:t>
            </w:r>
          </w:p>
          <w:p>
            <w:pPr>
              <w:spacing w:line="360" w:lineRule="auto"/>
              <w:rPr>
                <w:rFonts w:cs="Times New Roman" w:asciiTheme="minorEastAsia" w:hAnsiTheme="minorEastAsia"/>
                <w:sz w:val="18"/>
                <w:szCs w:val="18"/>
              </w:rPr>
            </w:pPr>
            <w:r>
              <w:rPr>
                <w:rFonts w:hint="eastAsia" w:cs="Times New Roman" w:asciiTheme="minorEastAsia" w:hAnsiTheme="minorEastAsia"/>
                <w:sz w:val="18"/>
                <w:szCs w:val="18"/>
              </w:rPr>
              <w:t>（1）申购的时间</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□预约申购期：【2024】年【08】月【06】日11:00至【2024】年【08】月【12】日15:45；投资周期【182】天；</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□预约申购期：【2024】年【08】月【13】日11:00至【2024】年【08】月【19】日15:45；投资周期【175】天；</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（2）申购的确认</w:t>
            </w:r>
          </w:p>
          <w:tbl>
            <w:tblPr>
              <w:tblStyle w:val="10"/>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603"/>
              <w:gridCol w:w="2551"/>
              <w:gridCol w:w="1276"/>
              <w:gridCol w:w="17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603" w:type="dxa"/>
                  <w:vAlign w:val="center"/>
                </w:tcPr>
                <w:p>
                  <w:pPr>
                    <w:pStyle w:val="17"/>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2551" w:type="dxa"/>
                  <w:vAlign w:val="center"/>
                </w:tcPr>
                <w:p>
                  <w:pPr>
                    <w:pStyle w:val="17"/>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申购申请日和申购日</w:t>
                  </w:r>
                </w:p>
              </w:tc>
              <w:tc>
                <w:tcPr>
                  <w:tcW w:w="1276" w:type="dxa"/>
                  <w:vAlign w:val="center"/>
                </w:tcPr>
                <w:p>
                  <w:pPr>
                    <w:pStyle w:val="17"/>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760" w:type="dxa"/>
                  <w:vAlign w:val="center"/>
                </w:tcPr>
                <w:p>
                  <w:pPr>
                    <w:pStyle w:val="17"/>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603" w:type="dxa"/>
                </w:tcPr>
                <w:p>
                  <w:pPr>
                    <w:pStyle w:val="17"/>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2551" w:type="dxa"/>
                </w:tcPr>
                <w:p>
                  <w:pPr>
                    <w:pStyle w:val="17"/>
                    <w:spacing w:line="360" w:lineRule="auto"/>
                    <w:jc w:val="both"/>
                    <w:rPr>
                      <w:rFonts w:ascii="黑体" w:hAnsi="黑体" w:eastAsia="黑体" w:cs="Times New Roman"/>
                      <w:color w:val="auto"/>
                      <w:sz w:val="18"/>
                      <w:szCs w:val="18"/>
                    </w:rPr>
                  </w:pPr>
                  <w:r>
                    <w:rPr>
                      <w:rFonts w:hint="eastAsia" w:cs="Times New Roman" w:asciiTheme="minorEastAsia" w:hAnsiTheme="minorEastAsia" w:eastAsiaTheme="minorEastAsia"/>
                      <w:color w:val="auto"/>
                      <w:sz w:val="18"/>
                      <w:szCs w:val="18"/>
                    </w:rPr>
                    <w:t>申购申请日：预约申购期内最后一个工作日为申购申请日</w:t>
                  </w:r>
                  <w:r>
                    <w:rPr>
                      <w:rFonts w:hint="eastAsia" w:ascii="黑体" w:hAnsi="黑体" w:eastAsia="黑体" w:cs="Times New Roman"/>
                      <w:color w:val="auto"/>
                      <w:sz w:val="18"/>
                      <w:szCs w:val="18"/>
                    </w:rPr>
                    <w:t>（注：在申购申请日，投资者的预约申购申请自动转化为申购申请）。</w:t>
                  </w:r>
                </w:p>
                <w:p>
                  <w:pPr>
                    <w:pStyle w:val="17"/>
                    <w:spacing w:line="360" w:lineRule="auto"/>
                    <w:jc w:val="both"/>
                    <w:rPr>
                      <w:rFonts w:cs="Times New Roman" w:asciiTheme="minorEastAsia" w:hAnsiTheme="minorEastAsia" w:eastAsiaTheme="minorEastAsia"/>
                      <w:color w:val="auto"/>
                      <w:sz w:val="18"/>
                      <w:szCs w:val="18"/>
                    </w:rPr>
                  </w:pPr>
                  <w:r>
                    <w:rPr>
                      <w:rFonts w:hint="eastAsia" w:cs="Times New Roman" w:asciiTheme="minorEastAsia" w:hAnsiTheme="minorEastAsia" w:eastAsiaTheme="minorEastAsia"/>
                      <w:color w:val="auto"/>
                      <w:sz w:val="18"/>
                      <w:szCs w:val="18"/>
                    </w:rPr>
                    <w:t>申购</w:t>
                  </w:r>
                  <w:r>
                    <w:rPr>
                      <w:rFonts w:cs="Times New Roman" w:asciiTheme="minorEastAsia" w:hAnsiTheme="minorEastAsia" w:eastAsiaTheme="minorEastAsia"/>
                      <w:color w:val="auto"/>
                      <w:sz w:val="18"/>
                      <w:szCs w:val="18"/>
                    </w:rPr>
                    <w:t>日</w:t>
                  </w:r>
                  <w:r>
                    <w:rPr>
                      <w:rFonts w:hint="eastAsia" w:cs="Times New Roman" w:asciiTheme="minorEastAsia" w:hAnsiTheme="minorEastAsia" w:eastAsiaTheme="minorEastAsia"/>
                      <w:color w:val="auto"/>
                      <w:sz w:val="18"/>
                      <w:szCs w:val="18"/>
                    </w:rPr>
                    <w:t>：与申购申请日为同一日</w:t>
                  </w:r>
                  <w:r>
                    <w:rPr>
                      <w:rFonts w:hint="eastAsia" w:ascii="黑体" w:hAnsi="黑体" w:eastAsia="黑体" w:cs="Times New Roman"/>
                      <w:color w:val="auto"/>
                      <w:sz w:val="18"/>
                      <w:szCs w:val="18"/>
                    </w:rPr>
                    <w:t>（注：</w:t>
                  </w:r>
                  <w:r>
                    <w:rPr>
                      <w:rFonts w:ascii="黑体" w:hAnsi="黑体" w:eastAsia="黑体" w:cs="Times New Roman"/>
                      <w:color w:val="auto"/>
                      <w:sz w:val="18"/>
                      <w:szCs w:val="18"/>
                    </w:rPr>
                    <w:t>前述</w:t>
                  </w:r>
                  <w:r>
                    <w:rPr>
                      <w:rFonts w:hint="eastAsia" w:ascii="黑体" w:hAnsi="黑体" w:eastAsia="黑体" w:cs="Times New Roman"/>
                      <w:color w:val="auto"/>
                      <w:sz w:val="18"/>
                      <w:szCs w:val="18"/>
                    </w:rPr>
                    <w:t>申购申请视为在申购申请日的交易时间内做出，故申购申请日即为申购日）。</w:t>
                  </w:r>
                </w:p>
              </w:tc>
              <w:tc>
                <w:tcPr>
                  <w:tcW w:w="1276" w:type="dxa"/>
                </w:tcPr>
                <w:p>
                  <w:pPr>
                    <w:pStyle w:val="17"/>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1760" w:type="dxa"/>
                </w:tcPr>
                <w:p>
                  <w:pPr>
                    <w:pStyle w:val="17"/>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sz w:val="18"/>
                <w:szCs w:val="18"/>
              </w:rPr>
              <w:t>本产品在一个完整投资周期结束前，设置一个预约申购期；在一个完整投资周期结束后，可以再设置多个预约申购期。</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3</w:t>
            </w:r>
            <w:r>
              <w:rPr>
                <w:rFonts w:asciiTheme="majorEastAsia" w:hAnsiTheme="majorEastAsia" w:eastAsiaTheme="majorEastAsia"/>
                <w:bCs/>
                <w:color w:val="000000" w:themeColor="text1"/>
                <w:sz w:val="18"/>
                <w:szCs w:val="18"/>
                <w14:textFill>
                  <w14:solidFill>
                    <w14:schemeClr w14:val="tx1"/>
                  </w14:solidFill>
                </w14:textFill>
              </w:rPr>
              <w:t>.预约</w:t>
            </w:r>
            <w:r>
              <w:rPr>
                <w:rFonts w:hint="eastAsia" w:asciiTheme="majorEastAsia" w:hAnsiTheme="majorEastAsia" w:eastAsiaTheme="majorEastAsia"/>
                <w:bCs/>
                <w:color w:val="000000" w:themeColor="text1"/>
                <w:sz w:val="18"/>
                <w:szCs w:val="18"/>
                <w14:textFill>
                  <w14:solidFill>
                    <w14:schemeClr w14:val="tx1"/>
                  </w14:solidFill>
                </w14:textFill>
              </w:rPr>
              <w:t>赎回安排</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（1）赎回的时间</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预约赎回期：【202</w:t>
            </w:r>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】年【0</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】月【</w:t>
            </w:r>
            <w:r>
              <w:rPr>
                <w:rFonts w:asciiTheme="majorEastAsia" w:hAnsiTheme="majorEastAsia" w:eastAsiaTheme="majorEastAsia"/>
                <w:bCs/>
                <w:color w:val="000000" w:themeColor="text1"/>
                <w:sz w:val="18"/>
                <w:szCs w:val="18"/>
                <w14:textFill>
                  <w14:solidFill>
                    <w14:schemeClr w14:val="tx1"/>
                  </w14:solidFill>
                </w14:textFill>
              </w:rPr>
              <w:t>28</w:t>
            </w:r>
            <w:r>
              <w:rPr>
                <w:rFonts w:hint="eastAsia" w:asciiTheme="majorEastAsia" w:hAnsiTheme="majorEastAsia" w:eastAsiaTheme="majorEastAsia"/>
                <w:bCs/>
                <w:color w:val="000000" w:themeColor="text1"/>
                <w:sz w:val="18"/>
                <w:szCs w:val="18"/>
                <w14:textFill>
                  <w14:solidFill>
                    <w14:schemeClr w14:val="tx1"/>
                  </w14:solidFill>
                </w14:textFill>
              </w:rPr>
              <w:t>】日00:00至【202</w:t>
            </w:r>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】年【0</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】月【1</w:t>
            </w:r>
            <w:r>
              <w:rPr>
                <w:rFonts w:asciiTheme="majorEastAsia" w:hAnsiTheme="majorEastAsia" w:eastAsiaTheme="majorEastAsia"/>
                <w:bCs/>
                <w:color w:val="000000" w:themeColor="text1"/>
                <w:sz w:val="18"/>
                <w:szCs w:val="18"/>
                <w14:textFill>
                  <w14:solidFill>
                    <w14:schemeClr w14:val="tx1"/>
                  </w14:solidFill>
                </w14:textFill>
              </w:rPr>
              <w:t>0</w:t>
            </w:r>
            <w:r>
              <w:rPr>
                <w:rFonts w:hint="eastAsia" w:asciiTheme="majorEastAsia" w:hAnsiTheme="majorEastAsia" w:eastAsiaTheme="majorEastAsia"/>
                <w:bCs/>
                <w:color w:val="000000" w:themeColor="text1"/>
                <w:sz w:val="18"/>
                <w:szCs w:val="18"/>
                <w14:textFill>
                  <w14:solidFill>
                    <w14:schemeClr w14:val="tx1"/>
                  </w14:solidFill>
                </w14:textFill>
              </w:rPr>
              <w:t>】日15:45；</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（2）赎回的确认</w:t>
            </w:r>
          </w:p>
          <w:tbl>
            <w:tblPr>
              <w:tblStyle w:val="10"/>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745"/>
              <w:gridCol w:w="2409"/>
              <w:gridCol w:w="1418"/>
              <w:gridCol w:w="16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745" w:type="dxa"/>
                  <w:vAlign w:val="center"/>
                </w:tcPr>
                <w:p>
                  <w:pPr>
                    <w:pStyle w:val="17"/>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2409" w:type="dxa"/>
                  <w:vAlign w:val="center"/>
                </w:tcPr>
                <w:p>
                  <w:pPr>
                    <w:pStyle w:val="17"/>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赎回申请日和赎回日</w:t>
                  </w:r>
                </w:p>
              </w:tc>
              <w:tc>
                <w:tcPr>
                  <w:tcW w:w="1418" w:type="dxa"/>
                  <w:vAlign w:val="center"/>
                </w:tcPr>
                <w:p>
                  <w:pPr>
                    <w:pStyle w:val="17"/>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1618" w:type="dxa"/>
                  <w:vAlign w:val="center"/>
                </w:tcPr>
                <w:p>
                  <w:pPr>
                    <w:pStyle w:val="17"/>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745" w:type="dxa"/>
                </w:tcPr>
                <w:p>
                  <w:pPr>
                    <w:pStyle w:val="17"/>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2409" w:type="dxa"/>
                </w:tcPr>
                <w:p>
                  <w:pPr>
                    <w:pStyle w:val="17"/>
                    <w:spacing w:line="360" w:lineRule="auto"/>
                    <w:jc w:val="both"/>
                    <w:rPr>
                      <w:rFonts w:cs="Times New Roman" w:asciiTheme="minorEastAsia" w:hAnsiTheme="minorEastAsia" w:eastAsiaTheme="minorEastAsia"/>
                      <w:color w:val="auto"/>
                      <w:sz w:val="18"/>
                      <w:szCs w:val="18"/>
                    </w:rPr>
                  </w:pPr>
                  <w:r>
                    <w:rPr>
                      <w:rFonts w:hint="eastAsia" w:cs="Times New Roman" w:asciiTheme="minorEastAsia" w:hAnsiTheme="minorEastAsia" w:eastAsiaTheme="minorEastAsia"/>
                      <w:color w:val="auto"/>
                      <w:sz w:val="18"/>
                      <w:szCs w:val="18"/>
                    </w:rPr>
                    <w:t>赎回申请日：预约赎回期内最后一个工作日为赎回申请日</w:t>
                  </w:r>
                  <w:r>
                    <w:rPr>
                      <w:rFonts w:hint="eastAsia" w:ascii="黑体" w:hAnsi="黑体" w:eastAsia="黑体" w:cs="Times New Roman"/>
                      <w:color w:val="auto"/>
                      <w:sz w:val="18"/>
                      <w:szCs w:val="18"/>
                    </w:rPr>
                    <w:t>（注：在赎回申请日，投资者的预约赎回申请自动转化为赎回申请）</w:t>
                  </w:r>
                  <w:r>
                    <w:rPr>
                      <w:rFonts w:hint="eastAsia" w:cs="Times New Roman" w:asciiTheme="minorEastAsia" w:hAnsiTheme="minorEastAsia" w:eastAsiaTheme="minorEastAsia"/>
                      <w:color w:val="auto"/>
                      <w:sz w:val="18"/>
                      <w:szCs w:val="18"/>
                    </w:rPr>
                    <w:t>。</w:t>
                  </w:r>
                </w:p>
                <w:p>
                  <w:pPr>
                    <w:pStyle w:val="17"/>
                    <w:spacing w:line="360" w:lineRule="auto"/>
                    <w:jc w:val="both"/>
                    <w:rPr>
                      <w:rFonts w:cs="Times New Roman" w:asciiTheme="minorEastAsia" w:hAnsiTheme="minorEastAsia" w:eastAsiaTheme="minorEastAsia"/>
                      <w:color w:val="auto"/>
                      <w:sz w:val="18"/>
                      <w:szCs w:val="18"/>
                    </w:rPr>
                  </w:pPr>
                  <w:r>
                    <w:rPr>
                      <w:rFonts w:cs="Times New Roman" w:asciiTheme="minorEastAsia" w:hAnsiTheme="minorEastAsia" w:eastAsiaTheme="minorEastAsia"/>
                      <w:color w:val="auto"/>
                      <w:sz w:val="18"/>
                      <w:szCs w:val="18"/>
                    </w:rPr>
                    <w:t>赎回日</w:t>
                  </w:r>
                  <w:r>
                    <w:rPr>
                      <w:rFonts w:hint="eastAsia" w:cs="Times New Roman" w:asciiTheme="minorEastAsia" w:hAnsiTheme="minorEastAsia" w:eastAsiaTheme="minorEastAsia"/>
                      <w:color w:val="auto"/>
                      <w:sz w:val="18"/>
                      <w:szCs w:val="18"/>
                    </w:rPr>
                    <w:t>：与赎回申请日为同一日</w:t>
                  </w:r>
                  <w:r>
                    <w:rPr>
                      <w:rFonts w:hint="eastAsia" w:ascii="黑体" w:hAnsi="黑体" w:eastAsia="黑体" w:cs="Times New Roman"/>
                      <w:color w:val="auto"/>
                      <w:sz w:val="18"/>
                      <w:szCs w:val="18"/>
                    </w:rPr>
                    <w:t>（注：</w:t>
                  </w:r>
                  <w:r>
                    <w:rPr>
                      <w:rFonts w:ascii="黑体" w:hAnsi="黑体" w:eastAsia="黑体" w:cs="Times New Roman"/>
                      <w:color w:val="auto"/>
                      <w:sz w:val="18"/>
                      <w:szCs w:val="18"/>
                    </w:rPr>
                    <w:t>前述</w:t>
                  </w:r>
                  <w:r>
                    <w:rPr>
                      <w:rFonts w:hint="eastAsia" w:ascii="黑体" w:hAnsi="黑体" w:eastAsia="黑体" w:cs="Times New Roman"/>
                      <w:color w:val="auto"/>
                      <w:sz w:val="18"/>
                      <w:szCs w:val="18"/>
                    </w:rPr>
                    <w:t>赎回申请视为在赎回申请日的交易时间内做出，故赎回申请日即为赎回日）。</w:t>
                  </w:r>
                </w:p>
              </w:tc>
              <w:tc>
                <w:tcPr>
                  <w:tcW w:w="1418" w:type="dxa"/>
                </w:tcPr>
                <w:p>
                  <w:pPr>
                    <w:pStyle w:val="17"/>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1618" w:type="dxa"/>
                </w:tcPr>
                <w:p>
                  <w:pPr>
                    <w:pStyle w:val="17"/>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日后【5】个工作日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4.预约申购期/</w:t>
            </w:r>
            <w:r>
              <w:rPr>
                <w:rFonts w:hint="eastAsia" w:asciiTheme="majorEastAsia" w:hAnsiTheme="majorEastAsia" w:eastAsiaTheme="majorEastAsia"/>
                <w:bCs/>
                <w:color w:val="000000" w:themeColor="text1"/>
                <w:sz w:val="18"/>
                <w:szCs w:val="18"/>
                <w14:textFill>
                  <w14:solidFill>
                    <w14:schemeClr w14:val="tx1"/>
                  </w14:solidFill>
                </w14:textFill>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cs="Times New Roman" w:asciiTheme="minorEastAsia" w:hAnsiTheme="minorEastAsia"/>
                <w:sz w:val="18"/>
                <w:szCs w:val="18"/>
              </w:rPr>
              <w:t>本产品在一个完整投资周期结束前，产品</w:t>
            </w:r>
            <w:r>
              <w:rPr>
                <w:rFonts w:cs="Times New Roman" w:asciiTheme="minorEastAsia" w:hAnsiTheme="minorEastAsia"/>
                <w:sz w:val="18"/>
                <w:szCs w:val="18"/>
              </w:rPr>
              <w:t>管理人可以</w:t>
            </w:r>
            <w:r>
              <w:rPr>
                <w:rFonts w:hint="eastAsia" w:cs="Times New Roman" w:asciiTheme="minorEastAsia" w:hAnsiTheme="minorEastAsia"/>
                <w:sz w:val="18"/>
                <w:szCs w:val="18"/>
              </w:rPr>
              <w:t>更新产品说明书，约定后续投资周期对应的</w:t>
            </w:r>
            <w:r>
              <w:rPr>
                <w:rFonts w:asciiTheme="majorEastAsia" w:hAnsiTheme="majorEastAsia" w:eastAsiaTheme="majorEastAsia"/>
                <w:bCs/>
                <w:color w:val="000000" w:themeColor="text1"/>
                <w:sz w:val="18"/>
                <w:szCs w:val="18"/>
                <w14:textFill>
                  <w14:solidFill>
                    <w14:schemeClr w14:val="tx1"/>
                  </w14:solidFill>
                </w14:textFill>
              </w:rPr>
              <w:t>预约申购期/</w:t>
            </w:r>
            <w:r>
              <w:rPr>
                <w:rFonts w:hint="eastAsia" w:asciiTheme="majorEastAsia" w:hAnsiTheme="majorEastAsia" w:eastAsiaTheme="majorEastAsia"/>
                <w:bCs/>
                <w:color w:val="000000" w:themeColor="text1"/>
                <w:sz w:val="18"/>
                <w:szCs w:val="18"/>
                <w14:textFill>
                  <w14:solidFill>
                    <w14:schemeClr w14:val="tx1"/>
                  </w14:solidFill>
                </w14:textFill>
              </w:rPr>
              <w:t>预约赎回期。</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②代理销售机构的实际工作服务时段，最早不得早于销售文件约定</w:t>
            </w:r>
            <w:r>
              <w:rPr>
                <w:rFonts w:ascii="黑体" w:hAnsi="黑体" w:eastAsia="黑体"/>
                <w:bCs/>
                <w:color w:val="000000" w:themeColor="text1"/>
                <w:sz w:val="18"/>
                <w:szCs w:val="18"/>
                <w14:textFill>
                  <w14:solidFill>
                    <w14:schemeClr w14:val="tx1"/>
                  </w14:solidFill>
                </w14:textFill>
              </w:rPr>
              <w:t>的</w:t>
            </w:r>
            <w:r>
              <w:rPr>
                <w:rFonts w:hint="eastAsia" w:ascii="黑体" w:hAnsi="黑体" w:eastAsia="黑体"/>
                <w:bCs/>
                <w:color w:val="000000" w:themeColor="text1"/>
                <w:sz w:val="18"/>
                <w:szCs w:val="18"/>
                <w14:textFill>
                  <w14:solidFill>
                    <w14:schemeClr w14:val="tx1"/>
                  </w14:solidFill>
                </w14:textFill>
              </w:rPr>
              <w:t>起始时点、最晚不得晚于销售文件</w:t>
            </w:r>
            <w:r>
              <w:rPr>
                <w:rFonts w:ascii="黑体" w:hAnsi="黑体" w:eastAsia="黑体"/>
                <w:bCs/>
                <w:color w:val="000000" w:themeColor="text1"/>
                <w:sz w:val="18"/>
                <w:szCs w:val="18"/>
                <w14:textFill>
                  <w14:solidFill>
                    <w14:schemeClr w14:val="tx1"/>
                  </w14:solidFill>
                </w14:textFill>
              </w:rPr>
              <w:t>约定的</w:t>
            </w:r>
            <w:r>
              <w:rPr>
                <w:rFonts w:hint="eastAsia" w:ascii="黑体" w:hAnsi="黑体" w:eastAsia="黑体"/>
                <w:bCs/>
                <w:color w:val="000000" w:themeColor="text1"/>
                <w:sz w:val="18"/>
                <w:szCs w:val="18"/>
                <w14:textFill>
                  <w14:solidFill>
                    <w14:schemeClr w14:val="tx1"/>
                  </w14:solidFill>
                </w14:textFill>
              </w:rPr>
              <w:t>终止时点</w:t>
            </w:r>
            <w:r>
              <w:rPr>
                <w:rFonts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（适用【A/B/</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（适用【/】类</w:t>
            </w:r>
            <w:r>
              <w:rPr>
                <w:rFonts w:hAnsi="宋体"/>
                <w:bCs/>
                <w:sz w:val="18"/>
                <w:szCs w:val="18"/>
              </w:rPr>
              <w:t>份额</w:t>
            </w:r>
            <w:r>
              <w:rPr>
                <w:rFonts w:hint="eastAsia" w:hAnsi="宋体"/>
                <w:bCs/>
                <w:sz w:val="18"/>
                <w:szCs w:val="18"/>
              </w:rPr>
              <w:t>）</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日之前的估值日公布的产品份额净值已扣除理财产品的费用和税收。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（适用【/】类</w:t>
            </w:r>
            <w:r>
              <w:rPr>
                <w:rFonts w:hAnsi="宋体"/>
                <w:bCs/>
                <w:sz w:val="18"/>
                <w:szCs w:val="18"/>
              </w:rPr>
              <w:t>份额</w:t>
            </w:r>
            <w:r>
              <w:rPr>
                <w:rFonts w:hint="eastAsia" w:hAnsi="宋体"/>
                <w:bCs/>
                <w:sz w:val="18"/>
                <w:szCs w:val="18"/>
              </w:rPr>
              <w:t>）</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以一年期定期存款利率为无风险利率，基于当前对未来市场的判断，根据拟投资债权类资产的信用利差、久期敞口以及流动性溢价，预判组合的波动幅度，设定业绩比较基准</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sz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spacing w:line="360" w:lineRule="auto"/>
              <w:jc w:val="left"/>
              <w:rPr>
                <w:rFonts w:ascii="宋体" w:hAnsi="宋体"/>
                <w:bCs/>
                <w:sz w:val="18"/>
                <w:szCs w:val="18"/>
              </w:rPr>
            </w:pPr>
            <w:r>
              <w:rPr>
                <w:rFonts w:asciiTheme="majorEastAsia" w:hAnsiTheme="majorEastAsia"/>
                <w:sz w:val="18"/>
              </w:rPr>
              <w:t>A</w:t>
            </w:r>
            <w:r>
              <w:rPr>
                <w:rFonts w:hint="eastAsia" w:asciiTheme="majorEastAsia" w:hAnsiTheme="majorEastAsia"/>
                <w:sz w:val="18"/>
              </w:rPr>
              <w:t>类份额：年化</w:t>
            </w:r>
            <w:r>
              <w:rPr>
                <w:rFonts w:hint="eastAsia" w:ascii="宋体" w:hAnsi="宋体"/>
                <w:bCs/>
                <w:sz w:val="18"/>
                <w:szCs w:val="18"/>
              </w:rPr>
              <w:t>【</w:t>
            </w:r>
            <w:r>
              <w:rPr>
                <w:rFonts w:ascii="宋体" w:hAnsi="宋体"/>
                <w:bCs/>
                <w:sz w:val="18"/>
                <w:szCs w:val="18"/>
              </w:rPr>
              <w:t>1.9</w:t>
            </w:r>
            <w:r>
              <w:rPr>
                <w:rFonts w:hint="eastAsia" w:ascii="宋体" w:hAnsi="宋体"/>
                <w:bCs/>
                <w:sz w:val="18"/>
                <w:szCs w:val="18"/>
              </w:rPr>
              <w:t>0%-</w:t>
            </w:r>
            <w:r>
              <w:t xml:space="preserve"> </w:t>
            </w:r>
            <w:r>
              <w:rPr>
                <w:rFonts w:ascii="宋体" w:hAnsi="宋体"/>
                <w:bCs/>
                <w:sz w:val="18"/>
                <w:szCs w:val="18"/>
              </w:rPr>
              <w:t>3.3</w:t>
            </w:r>
            <w:r>
              <w:rPr>
                <w:rFonts w:hint="eastAsia" w:ascii="宋体" w:hAnsi="宋体"/>
                <w:bCs/>
                <w:sz w:val="18"/>
                <w:szCs w:val="18"/>
              </w:rPr>
              <w:t>0%</w:t>
            </w:r>
            <w:r>
              <w:rPr>
                <w:rFonts w:ascii="宋体" w:hAnsi="宋体"/>
                <w:bCs/>
                <w:sz w:val="18"/>
                <w:szCs w:val="18"/>
              </w:rPr>
              <w:t>】</w:t>
            </w:r>
            <w:r>
              <w:rPr>
                <w:rFonts w:hint="eastAsia" w:ascii="宋体" w:hAnsi="宋体"/>
                <w:bCs/>
                <w:sz w:val="18"/>
                <w:szCs w:val="18"/>
              </w:rPr>
              <w:t>；</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sz w:val="18"/>
              </w:rPr>
              <w:t>B</w:t>
            </w:r>
            <w:r>
              <w:rPr>
                <w:rFonts w:hint="eastAsia" w:asciiTheme="majorEastAsia" w:hAnsiTheme="majorEastAsia"/>
                <w:sz w:val="18"/>
              </w:rPr>
              <w:t>类份额：</w:t>
            </w:r>
            <w:r>
              <w:rPr>
                <w:rFonts w:hint="eastAsia" w:asciiTheme="majorEastAsia" w:hAnsiTheme="majorEastAsia" w:eastAsiaTheme="majorEastAsia"/>
                <w:bCs/>
                <w:sz w:val="18"/>
                <w:szCs w:val="18"/>
              </w:rPr>
              <w:t>年化</w:t>
            </w:r>
            <w:r>
              <w:rPr>
                <w:rFonts w:hint="eastAsia" w:asciiTheme="majorEastAsia" w:hAnsiTheme="majorEastAsia" w:eastAsiaTheme="majorEastAsia"/>
                <w:sz w:val="18"/>
                <w:szCs w:val="18"/>
              </w:rPr>
              <w:t>【</w:t>
            </w:r>
            <w:r>
              <w:rPr>
                <w:rFonts w:ascii="宋体" w:hAnsi="宋体"/>
                <w:bCs/>
                <w:sz w:val="18"/>
                <w:szCs w:val="18"/>
              </w:rPr>
              <w:t>1.8</w:t>
            </w:r>
            <w:r>
              <w:rPr>
                <w:rFonts w:hint="eastAsia" w:ascii="宋体" w:hAnsi="宋体"/>
                <w:bCs/>
                <w:sz w:val="18"/>
                <w:szCs w:val="18"/>
              </w:rPr>
              <w:t>0%-</w:t>
            </w:r>
            <w:r>
              <w:t xml:space="preserve"> </w:t>
            </w:r>
            <w:r>
              <w:rPr>
                <w:rFonts w:ascii="宋体" w:hAnsi="宋体"/>
                <w:bCs/>
                <w:sz w:val="18"/>
                <w:szCs w:val="18"/>
              </w:rPr>
              <w:t>3.2</w:t>
            </w:r>
            <w:r>
              <w:rPr>
                <w:rFonts w:hint="eastAsia" w:ascii="宋体" w:hAnsi="宋体"/>
                <w:bCs/>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sz w:val="18"/>
                <w:szCs w:val="18"/>
              </w:rPr>
            </w:pPr>
            <w:r>
              <w:rPr>
                <w:rFonts w:asciiTheme="majorEastAsia" w:hAnsiTheme="majorEastAsia"/>
                <w:sz w:val="18"/>
              </w:rPr>
              <w:t>C</w:t>
            </w:r>
            <w:r>
              <w:rPr>
                <w:rFonts w:hint="eastAsia" w:asciiTheme="majorEastAsia" w:hAnsiTheme="majorEastAsia"/>
                <w:sz w:val="18"/>
              </w:rPr>
              <w:t>类份额：</w:t>
            </w:r>
            <w:r>
              <w:rPr>
                <w:rFonts w:hint="eastAsia" w:asciiTheme="majorEastAsia" w:hAnsiTheme="majorEastAsia" w:eastAsiaTheme="majorEastAsia"/>
                <w:bCs/>
                <w:sz w:val="18"/>
                <w:szCs w:val="18"/>
              </w:rPr>
              <w:t>年化</w:t>
            </w:r>
            <w:r>
              <w:rPr>
                <w:rFonts w:hint="eastAsia" w:asciiTheme="majorEastAsia" w:hAnsiTheme="majorEastAsia" w:eastAsiaTheme="majorEastAsia"/>
                <w:sz w:val="18"/>
                <w:szCs w:val="18"/>
              </w:rPr>
              <w:t>【</w:t>
            </w:r>
            <w:r>
              <w:rPr>
                <w:rFonts w:asciiTheme="majorEastAsia" w:hAnsiTheme="majorEastAsia" w:eastAsiaTheme="majorEastAsia"/>
                <w:sz w:val="18"/>
                <w:szCs w:val="18"/>
              </w:rPr>
              <w:t>1.95</w:t>
            </w:r>
            <w:r>
              <w:rPr>
                <w:rFonts w:hint="eastAsia" w:asciiTheme="majorEastAsia" w:hAnsiTheme="majorEastAsia" w:eastAsiaTheme="majorEastAsia"/>
                <w:sz w:val="18"/>
                <w:szCs w:val="18"/>
              </w:rPr>
              <w:t>%-3.</w:t>
            </w:r>
            <w:r>
              <w:rPr>
                <w:rFonts w:asciiTheme="majorEastAsia" w:hAnsiTheme="majorEastAsia" w:eastAsiaTheme="majorEastAsia"/>
                <w:sz w:val="18"/>
                <w:szCs w:val="18"/>
              </w:rPr>
              <w:t>35</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sz w:val="18"/>
                <w:szCs w:val="18"/>
              </w:rPr>
            </w:pP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（适用【/】类</w:t>
            </w:r>
            <w:r>
              <w:rPr>
                <w:rFonts w:hAnsi="宋体"/>
                <w:bCs/>
                <w:sz w:val="18"/>
                <w:szCs w:val="18"/>
              </w:rPr>
              <w:t>份额</w:t>
            </w:r>
            <w:r>
              <w:rPr>
                <w:rFonts w:hint="eastAsia" w:hAnsi="宋体"/>
                <w:bCs/>
                <w:sz w:val="18"/>
                <w:szCs w:val="18"/>
              </w:rPr>
              <w:t>）</w:t>
            </w:r>
          </w:p>
          <w:p>
            <w:pPr>
              <w:spacing w:line="360" w:lineRule="auto"/>
              <w:jc w:val="left"/>
              <w:rPr>
                <w:rFonts w:ascii="宋体" w:hAnsi="宋体"/>
                <w:b/>
                <w:bCs/>
                <w:sz w:val="18"/>
                <w:szCs w:val="18"/>
              </w:rPr>
            </w:pPr>
            <w:r>
              <w:rPr>
                <w:rFonts w:ascii="宋体" w:hAnsi="宋体"/>
                <w:b/>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产品管理人设置业绩报酬计提基准。</w:t>
            </w:r>
          </w:p>
          <w:p>
            <w:pPr>
              <w:spacing w:line="360" w:lineRule="auto"/>
              <w:jc w:val="left"/>
              <w:rPr>
                <w:rFonts w:ascii="宋体" w:hAnsi="宋体"/>
                <w:sz w:val="18"/>
              </w:rPr>
            </w:pPr>
            <w:r>
              <w:rPr>
                <w:rFonts w:ascii="宋体" w:hAnsi="宋体"/>
                <w:bCs/>
                <w:sz w:val="18"/>
                <w:szCs w:val="18"/>
              </w:rPr>
              <w:t>业绩报酬计提基准的</w:t>
            </w:r>
            <w:r>
              <w:rPr>
                <w:rFonts w:ascii="宋体" w:hAnsi="宋体"/>
                <w:sz w:val="18"/>
              </w:rPr>
              <w:t>设定</w:t>
            </w:r>
            <w:r>
              <w:rPr>
                <w:rFonts w:hint="eastAsia" w:ascii="宋体" w:hAnsi="宋体"/>
                <w:sz w:val="18"/>
              </w:rPr>
              <w:t>：管理人</w:t>
            </w:r>
            <w:r>
              <w:rPr>
                <w:rFonts w:ascii="宋体" w:hAnsi="宋体"/>
                <w:sz w:val="18"/>
              </w:rPr>
              <w:t>对本产品设定</w:t>
            </w:r>
            <w:r>
              <w:rPr>
                <w:rFonts w:hint="eastAsia" w:ascii="宋体" w:hAnsi="宋体"/>
                <w:sz w:val="18"/>
              </w:rPr>
              <w:t>业绩报酬计提基准：【</w:t>
            </w:r>
            <w:r>
              <w:rPr>
                <w:rFonts w:hint="eastAsia" w:ascii="宋体" w:hAnsi="宋体"/>
                <w:bCs/>
                <w:sz w:val="18"/>
                <w:szCs w:val="18"/>
              </w:rPr>
              <w:t>业绩比较基准中枢</w:t>
            </w:r>
            <w:r>
              <w:rPr>
                <w:rFonts w:hint="eastAsia" w:ascii="宋体" w:hAnsi="宋体"/>
                <w:sz w:val="18"/>
              </w:rPr>
              <w:t>】。</w:t>
            </w:r>
          </w:p>
          <w:p>
            <w:pPr>
              <w:spacing w:line="360" w:lineRule="auto"/>
              <w:jc w:val="left"/>
              <w:rPr>
                <w:rFonts w:ascii="宋体" w:hAnsi="宋体"/>
                <w:bCs/>
                <w:sz w:val="18"/>
                <w:szCs w:val="18"/>
              </w:rPr>
            </w:pPr>
            <w:r>
              <w:rPr>
                <w:rFonts w:hint="eastAsia" w:asciiTheme="majorEastAsia" w:hAnsiTheme="majorEastAsia" w:eastAsiaTheme="majorEastAsia"/>
                <w:b/>
                <w:kern w:val="0"/>
                <w:sz w:val="18"/>
                <w:szCs w:val="18"/>
              </w:rPr>
              <w:t>□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b/>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p>
          <w:p>
            <w:pPr>
              <w:spacing w:line="360" w:lineRule="auto"/>
              <w:rPr>
                <w:rFonts w:asciiTheme="majorEastAsia" w:hAnsiTheme="majorEastAsia" w:eastAsiaTheme="majorEastAsia"/>
                <w:sz w:val="18"/>
                <w:szCs w:val="18"/>
              </w:rPr>
            </w:pPr>
            <w:r>
              <w:rPr>
                <w:rFonts w:asciiTheme="majorEastAsia" w:hAnsiTheme="majorEastAsia"/>
                <w:sz w:val="18"/>
              </w:rPr>
              <w:t>A</w:t>
            </w:r>
            <w:r>
              <w:rPr>
                <w:rFonts w:hint="eastAsia" w:asciiTheme="majorEastAsia" w:hAnsiTheme="majorEastAsia"/>
                <w:sz w:val="18"/>
              </w:rPr>
              <w:t>类份额：</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r>
              <w:rPr>
                <w:rFonts w:asciiTheme="majorEastAsia" w:hAnsiTheme="majorEastAsia" w:eastAsiaTheme="majorEastAsia"/>
                <w:sz w:val="18"/>
                <w:szCs w:val="18"/>
              </w:rPr>
              <w:t>；</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sz w:val="18"/>
              </w:rPr>
              <w:t>B</w:t>
            </w:r>
            <w:r>
              <w:rPr>
                <w:rFonts w:hint="eastAsia" w:asciiTheme="majorEastAsia" w:hAnsiTheme="majorEastAsia"/>
                <w:sz w:val="18"/>
              </w:rPr>
              <w:t>类份额：</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sz w:val="18"/>
                <w:szCs w:val="18"/>
              </w:rPr>
            </w:pPr>
            <w:r>
              <w:rPr>
                <w:rFonts w:asciiTheme="majorEastAsia" w:hAnsiTheme="majorEastAsia"/>
                <w:sz w:val="18"/>
              </w:rPr>
              <w:t>C</w:t>
            </w:r>
            <w:r>
              <w:rPr>
                <w:rFonts w:hint="eastAsia" w:asciiTheme="majorEastAsia" w:hAnsiTheme="majorEastAsia"/>
                <w:sz w:val="18"/>
              </w:rPr>
              <w:t>类份额：</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w:t>
            </w:r>
            <w:r>
              <w:rPr>
                <w:rFonts w:asciiTheme="majorEastAsia" w:hAnsiTheme="majorEastAsia" w:eastAsiaTheme="majorEastAsia"/>
                <w:sz w:val="18"/>
                <w:szCs w:val="18"/>
              </w:rPr>
              <w:t>5</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20%】</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116984886"/>
      <w:bookmarkStart w:id="73" w:name="_Toc92377132"/>
      <w:bookmarkStart w:id="74" w:name="_Toc79154666"/>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116984887"/>
      <w:bookmarkStart w:id="79" w:name="_Toc92377133"/>
      <w:bookmarkStart w:id="80"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预约申购期内投资者可提交预约申购申请</w:t>
      </w:r>
      <w:r>
        <w:rPr>
          <w:rFonts w:hint="eastAsia" w:cs="Times New Roman" w:asciiTheme="minorEastAsia" w:hAnsiTheme="minorEastAsia" w:eastAsiaTheme="minorEastAsia"/>
          <w:color w:val="auto"/>
          <w:sz w:val="18"/>
          <w:szCs w:val="18"/>
        </w:rPr>
        <w:t>。</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bCs/>
          <w:sz w:val="18"/>
          <w:szCs w:val="18"/>
        </w:rPr>
        <w:t>预约赎回期内投资者可提交预约赎回申请</w:t>
      </w:r>
      <w:r>
        <w:rPr>
          <w:rFonts w:hint="eastAsia" w:cs="Times New Roman" w:asciiTheme="minorEastAsia" w:hAnsiTheme="minorEastAsia" w:eastAsiaTheme="minorEastAsia"/>
          <w:sz w:val="18"/>
          <w:szCs w:val="18"/>
        </w:rPr>
        <w:t>。</w:t>
      </w:r>
      <w:r>
        <w:rPr>
          <w:rFonts w:hint="eastAsia" w:asciiTheme="majorEastAsia" w:hAnsiTheme="majorEastAsia" w:eastAsiaTheme="majorEastAsia"/>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27226"/>
      <w:bookmarkStart w:id="82" w:name="_Toc90742321"/>
      <w:bookmarkStart w:id="83" w:name="_Toc116984888"/>
      <w:bookmarkStart w:id="84" w:name="_Toc27189"/>
      <w:bookmarkStart w:id="85" w:name="_Toc92377134"/>
      <w:bookmarkStart w:id="86" w:name="_Toc29784"/>
      <w:bookmarkStart w:id="87" w:name="_Toc29948"/>
      <w:bookmarkStart w:id="88" w:name="_Toc79154668"/>
      <w:bookmarkStart w:id="89" w:name="_Toc3266"/>
      <w:bookmarkStart w:id="90" w:name="_Toc90742390"/>
      <w:bookmarkStart w:id="91" w:name="_Toc15203"/>
      <w:bookmarkStart w:id="92" w:name="_Toc74065741"/>
      <w:bookmarkStart w:id="93" w:name="_Toc7151"/>
      <w:bookmarkStart w:id="94" w:name="_Toc6714"/>
      <w:bookmarkStart w:id="95" w:name="_Toc16265"/>
      <w:bookmarkStart w:id="96" w:name="_Toc22074"/>
      <w:bookmarkStart w:id="97" w:name="_Toc90742688"/>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本产品主要投资范围包括但不限于（实际投资范围可根据法律法规及监管规定进行调整）：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（3）符合监管要求的债权类资产。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（4）以套期保值为目的的国债期货、利率互换、信用风险缓释工具、债券借贷。</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（6）其他风险不高于前述资产的资产。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（2）符合监管要求的非标准化债权类资产低于产品净资产的50%。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（3）国债期货、利率互换、债券借贷的合约价值占产品总资产比例不高于5%。</w:t>
      </w:r>
    </w:p>
    <w:p>
      <w:pPr>
        <w:autoSpaceDE w:val="0"/>
        <w:autoSpaceDN w:val="0"/>
        <w:adjustRightInd w:val="0"/>
        <w:spacing w:line="360" w:lineRule="auto"/>
        <w:ind w:firstLine="361" w:firstLineChars="200"/>
        <w:jc w:val="left"/>
        <w:rPr>
          <w:rFonts w:asciiTheme="majorEastAsia" w:hAnsiTheme="majorEastAsia" w:eastAsiaTheme="majorEastAsia"/>
          <w:bCs/>
          <w:sz w:val="18"/>
          <w:szCs w:val="18"/>
        </w:rPr>
      </w:pPr>
      <w:r>
        <w:rPr>
          <w:rFonts w:hint="eastAsia" w:asciiTheme="majorEastAsia" w:hAnsiTheme="majorEastAsia" w:eastAsiaTheme="majorEastAsia"/>
          <w:b/>
          <w:bCs/>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r>
        <w:rPr>
          <w:rFonts w:hint="eastAsia"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【通过对经济基本面、企业盈利、无风险利率水平、资金面等因素进行定性和定量分析，根据产品的业绩目标和回撤目标制定各个阶段产品资产投资比例。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将密切关注股票、债券以及货币市场的运行状况与风险收益特征，综合分析宏观经济基本面、政策面、流动性、估值与供求等因素，判断金融市场运行趋势和不同资产类别的相对投资价值，对各大类资产的风险收益特征进行评估，在符合本产品相关投资比例规定的前提下，确定各类属资产的配置比例，并依据各因素的动态变化进行及时调整。】</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141703885"/>
      <w:bookmarkStart w:id="99" w:name="_Toc18329"/>
      <w:bookmarkStart w:id="100" w:name="_Toc92377135"/>
      <w:bookmarkStart w:id="101" w:name="_Toc18797"/>
      <w:bookmarkStart w:id="102" w:name="_Toc79154669"/>
      <w:bookmarkStart w:id="103" w:name="_Toc21988"/>
      <w:bookmarkStart w:id="104" w:name="_Toc17912"/>
      <w:bookmarkStart w:id="105" w:name="_Toc139991735"/>
      <w:bookmarkStart w:id="106" w:name="_Toc14893"/>
      <w:bookmarkStart w:id="107" w:name="_Toc26986"/>
      <w:bookmarkStart w:id="108" w:name="_Toc7848"/>
      <w:bookmarkStart w:id="109" w:name="_Toc4741"/>
      <w:bookmarkStart w:id="110" w:name="_Toc74065742"/>
      <w:bookmarkStart w:id="111" w:name="_Toc116984889"/>
      <w:bookmarkStart w:id="112" w:name="_Toc18526"/>
      <w:bookmarkStart w:id="113" w:name="_Toc182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92377136"/>
      <w:bookmarkStart w:id="116" w:name="_Toc116984890"/>
      <w:bookmarkStart w:id="117" w:name="_Toc83391971"/>
      <w:bookmarkStart w:id="118" w:name="_Toc79154670"/>
      <w:bookmarkStart w:id="119" w:name="_Toc20733"/>
      <w:bookmarkStart w:id="120" w:name="_Toc139991736"/>
      <w:bookmarkStart w:id="121" w:name="_Toc10463"/>
      <w:bookmarkStart w:id="122" w:name="_Toc79392606"/>
      <w:bookmarkStart w:id="123" w:name="_Toc23261"/>
      <w:bookmarkStart w:id="124" w:name="_Toc141703886"/>
      <w:bookmarkStart w:id="125" w:name="_Toc48649707"/>
      <w:bookmarkStart w:id="126" w:name="_Toc123051452"/>
      <w:bookmarkStart w:id="127" w:name="_Toc123102453"/>
      <w:bookmarkStart w:id="128" w:name="_Toc610"/>
      <w:bookmarkStart w:id="129" w:name="_Toc23822"/>
      <w:bookmarkStart w:id="130" w:name="_Toc98560352"/>
      <w:bookmarkStart w:id="131" w:name="_Toc7920"/>
      <w:bookmarkStart w:id="132" w:name="_Toc4003"/>
      <w:bookmarkStart w:id="133" w:name="_Toc123112234"/>
      <w:bookmarkStart w:id="134" w:name="_Toc1427"/>
      <w:bookmarkStart w:id="135" w:name="_Toc1270"/>
      <w:bookmarkStart w:id="136" w:name="_Toc74065743"/>
      <w:bookmarkStart w:id="137" w:name="_Toc17244"/>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日、季度末</w:t>
      </w:r>
      <w:r>
        <w:rPr>
          <w:rFonts w:cs="Times New Roman" w:asciiTheme="minorEastAsia" w:hAnsiTheme="minorEastAsia" w:eastAsiaTheme="minorEastAsia"/>
          <w:sz w:val="18"/>
          <w:szCs w:val="18"/>
        </w:rPr>
        <w:t>、半年度</w:t>
      </w:r>
      <w:r>
        <w:rPr>
          <w:rFonts w:hint="eastAsia" w:cs="Times New Roman" w:asciiTheme="minorEastAsia" w:hAnsiTheme="minorEastAsia" w:eastAsiaTheme="minorEastAsia"/>
          <w:sz w:val="18"/>
          <w:szCs w:val="18"/>
        </w:rPr>
        <w:t>末</w:t>
      </w:r>
      <w:r>
        <w:rPr>
          <w:rFonts w:cs="Times New Roman" w:asciiTheme="minorEastAsia" w:hAnsiTheme="minorEastAsia" w:eastAsiaTheme="minorEastAsia"/>
          <w:sz w:val="18"/>
          <w:szCs w:val="18"/>
        </w:rPr>
        <w:t>、年度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116984891"/>
      <w:bookmarkStart w:id="140" w:name="_Toc74065744"/>
      <w:bookmarkStart w:id="141" w:name="_Toc92377137"/>
      <w:bookmarkStart w:id="142" w:name="_Toc14835"/>
      <w:bookmarkStart w:id="143" w:name="_Toc141703887"/>
      <w:bookmarkStart w:id="144" w:name="_Toc123112235"/>
      <w:bookmarkStart w:id="145" w:name="_Toc12245"/>
      <w:bookmarkStart w:id="146" w:name="_Toc98560353"/>
      <w:bookmarkStart w:id="147" w:name="_Toc79154671"/>
      <w:bookmarkStart w:id="148" w:name="_Toc6405"/>
      <w:bookmarkStart w:id="149" w:name="_Toc31653"/>
      <w:bookmarkStart w:id="150" w:name="_Toc26207"/>
      <w:bookmarkStart w:id="151" w:name="_Toc3601"/>
      <w:bookmarkStart w:id="152" w:name="_Toc123102454"/>
      <w:bookmarkStart w:id="153" w:name="_Toc31644"/>
      <w:bookmarkStart w:id="154" w:name="_Toc123051453"/>
      <w:bookmarkStart w:id="155" w:name="_Toc31235"/>
      <w:bookmarkStart w:id="156" w:name="_Toc15143"/>
      <w:bookmarkStart w:id="157" w:name="_Toc139991737"/>
      <w:bookmarkStart w:id="158" w:name="_Toc2925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15118234"/>
      <w:bookmarkStart w:id="161" w:name="_Toc523711668"/>
      <w:bookmarkStart w:id="162" w:name="_Toc57530239"/>
      <w:bookmarkStart w:id="163" w:name="_Toc79392580"/>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tabs>
          <w:tab w:val="left" w:pos="321"/>
        </w:tabs>
        <w:spacing w:line="360" w:lineRule="auto"/>
        <w:ind w:firstLine="361" w:firstLineChars="200"/>
        <w:rPr>
          <w:rFonts w:hAnsi="宋体"/>
          <w:b/>
          <w:bCs/>
          <w:color w:val="auto"/>
          <w:sz w:val="18"/>
          <w:szCs w:val="18"/>
        </w:rPr>
      </w:pPr>
      <w:r>
        <w:rPr>
          <w:rFonts w:hint="eastAsia" w:hAnsi="宋体"/>
          <w:b/>
          <w:bCs/>
          <w:color w:val="auto"/>
          <w:sz w:val="18"/>
          <w:szCs w:val="18"/>
        </w:rPr>
        <w:tab/>
      </w: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25574"/>
      <w:bookmarkEnd w:id="164"/>
      <w:bookmarkStart w:id="165" w:name="_Hlt88897298"/>
      <w:bookmarkEnd w:id="165"/>
      <w:bookmarkStart w:id="166" w:name="_Toc3771"/>
      <w:bookmarkStart w:id="167" w:name="_Toc18567"/>
      <w:bookmarkStart w:id="168" w:name="_Toc4559"/>
      <w:bookmarkStart w:id="169" w:name="_Toc11030"/>
      <w:bookmarkStart w:id="170" w:name="_Toc139991738"/>
      <w:bookmarkStart w:id="171" w:name="_Toc141703888"/>
      <w:bookmarkStart w:id="172" w:name="_Toc123112236"/>
      <w:bookmarkStart w:id="173" w:name="_Toc7058"/>
      <w:bookmarkStart w:id="174" w:name="_Toc3321"/>
      <w:bookmarkStart w:id="175" w:name="_Toc10650"/>
      <w:bookmarkStart w:id="176" w:name="_Toc9706"/>
      <w:bookmarkStart w:id="177" w:name="_Toc123051454"/>
      <w:bookmarkStart w:id="178" w:name="_Toc92377138"/>
      <w:bookmarkStart w:id="179" w:name="_Toc79154672"/>
      <w:bookmarkStart w:id="180" w:name="_Toc98560354"/>
      <w:bookmarkStart w:id="181" w:name="_Toc6447"/>
      <w:bookmarkStart w:id="182" w:name="_Toc74065745"/>
      <w:bookmarkStart w:id="183" w:name="_Toc79392583"/>
      <w:bookmarkStart w:id="184" w:name="_Toc25783"/>
      <w:bookmarkStart w:id="185" w:name="_Toc116984892"/>
      <w:bookmarkStart w:id="186" w:name="_Toc12310245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业绩报酬计提基准的设置、超额业绩报酬的具体比例数值以《产品说明书》“第二条 理财产品基本情况”为准。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①按投资者每份产品份额分别计算年化收益率并计提超额业绩报酬；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③在每个投资周期赎回日提取超额业绩报酬的，超额业绩报酬从理财资金中扣除；在产品终止日提取超额业绩报酬的，超额业绩报酬从清算资金中扣除。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每份产品份额超额业绩报酬每日计提，每个投资周期赎回日或产品终止日结算。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产品管理人对每份产品份额当前年化收益率（R）超过当前业绩报酬计提基准的部分，按比例（N）以及该份产品份额当前投资周期天数（D）提取超额业绩报酬，计算方法如下：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当R＞当前业绩报酬计提基准，超额业绩报酬=投资者持有的产品份额数量×产品成立日或当前投资周期产品份额申购日的产品份额净值×（R-当前业绩报酬计提基准）×N×D/365。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3963"/>
      <w:bookmarkStart w:id="188" w:name="_Toc1745"/>
      <w:r>
        <w:br w:type="page"/>
      </w:r>
      <w:bookmarkStart w:id="189" w:name="_Toc16164"/>
      <w:bookmarkStart w:id="190" w:name="_Toc92377139"/>
      <w:bookmarkStart w:id="191" w:name="_Toc98560355"/>
      <w:bookmarkStart w:id="192" w:name="_Toc123102456"/>
      <w:bookmarkStart w:id="193" w:name="_Toc3080"/>
      <w:bookmarkStart w:id="194" w:name="_Toc725"/>
      <w:bookmarkStart w:id="195" w:name="_Toc74065746"/>
      <w:bookmarkStart w:id="196" w:name="_Toc18206"/>
      <w:bookmarkStart w:id="197" w:name="_Toc31821"/>
      <w:bookmarkStart w:id="198" w:name="_Toc141703889"/>
      <w:bookmarkStart w:id="199" w:name="_Toc21735"/>
      <w:bookmarkStart w:id="200" w:name="_Toc123112237"/>
      <w:bookmarkStart w:id="201" w:name="_Toc10398"/>
      <w:bookmarkStart w:id="202" w:name="_Toc116984893"/>
      <w:bookmarkStart w:id="203" w:name="_Toc123051455"/>
      <w:bookmarkStart w:id="204" w:name="_Toc79154673"/>
      <w:bookmarkStart w:id="205" w:name="_Toc139991739"/>
      <w:bookmarkStart w:id="206" w:name="_Toc3572"/>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57530252"/>
      <w:bookmarkStart w:id="208" w:name="_Toc15118245"/>
      <w:bookmarkStart w:id="209"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116984894"/>
      <w:bookmarkStart w:id="211" w:name="_Toc92377140"/>
      <w:bookmarkStart w:id="212" w:name="_Toc32584"/>
      <w:bookmarkStart w:id="213" w:name="_Toc83391975"/>
      <w:bookmarkStart w:id="214" w:name="_Toc74065747"/>
      <w:bookmarkStart w:id="215" w:name="_Toc123102457"/>
      <w:bookmarkStart w:id="216" w:name="_Toc29408"/>
      <w:bookmarkStart w:id="217" w:name="_Toc739"/>
      <w:bookmarkStart w:id="218" w:name="_Toc8791"/>
      <w:bookmarkStart w:id="219" w:name="_Toc17198"/>
      <w:bookmarkStart w:id="220" w:name="_Toc21237"/>
      <w:bookmarkStart w:id="221" w:name="_Toc79392622"/>
      <w:bookmarkStart w:id="222" w:name="_Toc32092"/>
      <w:bookmarkStart w:id="223" w:name="_Toc141703890"/>
      <w:bookmarkStart w:id="224" w:name="_Toc139991740"/>
      <w:bookmarkStart w:id="225" w:name="_Toc123112238"/>
      <w:bookmarkStart w:id="226" w:name="_Toc98560356"/>
      <w:bookmarkStart w:id="227" w:name="_Toc17920"/>
      <w:bookmarkStart w:id="228" w:name="_Toc123051456"/>
      <w:bookmarkStart w:id="229" w:name="_Toc3329"/>
      <w:bookmarkStart w:id="230" w:name="_Toc48649708"/>
      <w:bookmarkStart w:id="231" w:name="_Toc5170"/>
      <w:bookmarkStart w:id="232" w:name="_Toc79154674"/>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将同步更新产品说明书中的业绩比较基准（如有）、业绩报酬计提基准（如有），以明确列示下一个完整投资周期对应的业绩比较基准（如有）、业绩报酬计提基准（如有）。</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rPr>
          <w:bCs/>
          <w:sz w:val="24"/>
        </w:rPr>
      </w:pPr>
      <w:r>
        <w:rPr>
          <w:sz w:val="24"/>
        </w:rPr>
        <w:br w:type="page"/>
      </w:r>
    </w:p>
    <w:p>
      <w:pPr>
        <w:pStyle w:val="2"/>
        <w:spacing w:before="0" w:after="0" w:line="360" w:lineRule="auto"/>
        <w:jc w:val="center"/>
        <w:rPr>
          <w:rFonts w:ascii="Times New Roman"/>
          <w:b w:val="0"/>
          <w:sz w:val="30"/>
        </w:rPr>
      </w:pPr>
      <w:bookmarkStart w:id="233" w:name="_Toc79154675"/>
      <w:bookmarkStart w:id="234" w:name="_Toc116984895"/>
      <w:bookmarkStart w:id="235"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2）投资非标准化债权类资产的风险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pStyle w:val="17"/>
        <w:spacing w:line="360" w:lineRule="auto"/>
        <w:rPr>
          <w:rFonts w:hAnsi="宋体"/>
          <w:sz w:val="18"/>
          <w:szCs w:val="18"/>
        </w:rPr>
      </w:pPr>
    </w:p>
    <w:p>
      <w:pPr>
        <w:spacing w:line="360" w:lineRule="auto"/>
        <w:jc w:val="left"/>
        <w:rPr>
          <w:rFonts w:hint="eastAsia" w:ascii="宋体" w:hAnsi="宋体"/>
          <w:b/>
          <w:sz w:val="18"/>
          <w:szCs w:val="18"/>
        </w:rPr>
        <w:sectPr>
          <w:headerReference r:id="rId5" w:type="default"/>
          <w:footerReference r:id="rId6" w:type="default"/>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hint="eastAsia" w:ascii="宋体" w:hAnsi="宋体" w:cs="仿宋_GB2312"/>
          <w:kern w:val="0"/>
          <w:sz w:val="18"/>
          <w:szCs w:val="18"/>
          <w:lang w:val="en-US" w:eastAsia="zh-CN"/>
        </w:rPr>
      </w:pPr>
      <w:r>
        <w:rPr>
          <w:rFonts w:hint="eastAsia" w:ascii="宋体" w:hAnsi="宋体" w:cs="仿宋_GB2312"/>
          <w:kern w:val="0"/>
          <w:sz w:val="18"/>
          <w:szCs w:val="18"/>
        </w:rPr>
        <w:t>3、</w:t>
      </w:r>
      <w:r>
        <w:rPr>
          <w:rFonts w:hint="eastAsia" w:ascii="宋体" w:hAnsi="宋体" w:cs="仿宋_GB2312"/>
          <w:kern w:val="0"/>
          <w:sz w:val="18"/>
          <w:szCs w:val="18"/>
          <w:lang w:val="en-US" w:eastAsia="zh-CN"/>
        </w:rPr>
        <w:t>根据理财产品投资范围、风险收益特点、流动性等不同因素，乙方作为销售机构将理财产品分为</w:t>
      </w:r>
      <w:r>
        <w:rPr>
          <w:rFonts w:hint="eastAsia" w:ascii="宋体" w:hAnsi="宋体" w:cs="仿宋_GB2312"/>
          <w:color w:val="FF0000"/>
          <w:kern w:val="0"/>
          <w:sz w:val="18"/>
          <w:szCs w:val="18"/>
          <w:lang w:val="en-US" w:eastAsia="zh-CN"/>
        </w:rPr>
        <w:t>【5】</w:t>
      </w:r>
      <w:r>
        <w:rPr>
          <w:rFonts w:hint="eastAsia" w:ascii="宋体" w:hAnsi="宋体" w:cs="仿宋_GB2312"/>
          <w:kern w:val="0"/>
          <w:sz w:val="18"/>
          <w:szCs w:val="18"/>
          <w:lang w:val="en-US" w:eastAsia="zh-CN"/>
        </w:rPr>
        <w:t>个风险等级：【R1（低风险）、R2（中低风险）、R3（中等风险）、R4（中高风险）、R5（高风险）】；根据投资者在乙方评估的风险承受能力，乙方将投资者风险承受能力分为【5】个等级：【保守型、谨慎型、稳健型、进取型、激进型】。</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7" w:type="default"/>
          <w:footerReference r:id="rId8" w:type="default"/>
          <w:pgSz w:w="11906" w:h="16838"/>
          <w:pgMar w:top="1440" w:right="1800" w:bottom="1440" w:left="1800" w:header="567" w:footer="964"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r>
        <w:rPr>
          <w:rFonts w:hint="eastAsia" w:ascii="黑体" w:hAnsi="黑体" w:eastAsia="黑体"/>
          <w:b/>
          <w:sz w:val="28"/>
          <w:szCs w:val="28"/>
        </w:rPr>
        <w:t>天天万利宝稳利净值型</w:t>
      </w:r>
      <w:r>
        <w:rPr>
          <w:rFonts w:hint="eastAsia" w:ascii="黑体" w:hAnsi="黑体" w:eastAsia="黑体"/>
          <w:b/>
          <w:bCs/>
          <w:sz w:val="28"/>
          <w:szCs w:val="28"/>
        </w:rPr>
        <w:t>】</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【兴业银行天天万利宝稳利2号净值型理财产品B款】</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rPr>
        <w:t>【稳利恒盈B 6个月】（适用【A】类份额）；</w:t>
      </w:r>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【稳利恒盈B 6个月B】（适用【B】类份额）</w:t>
      </w:r>
    </w:p>
    <w:p>
      <w:pPr>
        <w:ind w:firstLine="448" w:firstLineChars="249"/>
        <w:rPr>
          <w:rFonts w:ascii="宋体" w:hAnsi="宋体" w:cs="仿宋_GB2312"/>
          <w:kern w:val="0"/>
          <w:sz w:val="18"/>
          <w:szCs w:val="18"/>
        </w:rPr>
      </w:pPr>
      <w:r>
        <w:rPr>
          <w:rFonts w:hint="eastAsia" w:ascii="宋体" w:hAnsi="宋体"/>
          <w:bCs/>
          <w:sz w:val="18"/>
          <w:szCs w:val="18"/>
        </w:rPr>
        <w:t>【</w:t>
      </w:r>
      <w:r>
        <w:rPr>
          <w:rFonts w:ascii="宋体" w:hAnsi="宋体"/>
          <w:bCs/>
          <w:sz w:val="18"/>
          <w:szCs w:val="18"/>
        </w:rPr>
        <w:t>稳利恒盈B 6个月（惠享款）</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w:t>
      </w:r>
      <w:r>
        <w:rPr>
          <w:rFonts w:ascii="宋体" w:hAnsi="宋体"/>
          <w:bCs/>
          <w:color w:val="000000" w:themeColor="text1"/>
          <w:sz w:val="18"/>
          <w:szCs w:val="18"/>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cs="仿宋_GB2312"/>
          <w:kern w:val="0"/>
          <w:sz w:val="18"/>
          <w:szCs w:val="18"/>
        </w:rPr>
        <w:t>Z70020200000</w:t>
      </w:r>
      <w:r>
        <w:rPr>
          <w:rFonts w:hint="eastAsia" w:ascii="宋体" w:hAnsi="宋体" w:cs="仿宋_GB2312"/>
          <w:kern w:val="0"/>
          <w:sz w:val="18"/>
          <w:szCs w:val="18"/>
        </w:rPr>
        <w:t>19】</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360" w:firstLineChars="200"/>
        <w:rPr>
          <w:rFonts w:ascii="宋体" w:hAnsi="宋体"/>
          <w:sz w:val="18"/>
          <w:szCs w:val="18"/>
        </w:rPr>
      </w:pPr>
      <w:r>
        <w:rPr>
          <w:rFonts w:hint="eastAsia" w:ascii="宋体" w:hAnsi="宋体"/>
          <w:sz w:val="18"/>
          <w:szCs w:val="18"/>
        </w:rPr>
        <w:t>1.拟投资市场和资产的风险：</w:t>
      </w:r>
    </w:p>
    <w:p>
      <w:pPr>
        <w:ind w:firstLine="360" w:firstLineChars="200"/>
        <w:rPr>
          <w:rFonts w:ascii="宋体" w:hAnsi="宋体"/>
          <w:sz w:val="18"/>
          <w:szCs w:val="18"/>
        </w:rPr>
      </w:pPr>
      <w:r>
        <w:rPr>
          <w:rFonts w:hint="eastAsia" w:ascii="宋体" w:hAnsi="宋体"/>
          <w:sz w:val="18"/>
          <w:szCs w:val="18"/>
        </w:rPr>
        <w:t>（1）投资债权类资产的风险</w:t>
      </w:r>
    </w:p>
    <w:p>
      <w:pPr>
        <w:ind w:firstLine="360" w:firstLineChars="200"/>
        <w:rPr>
          <w:rFonts w:ascii="宋体" w:hAnsi="宋体"/>
          <w:sz w:val="18"/>
          <w:szCs w:val="18"/>
        </w:rPr>
      </w:pPr>
      <w:r>
        <w:rPr>
          <w:rFonts w:hint="eastAsia" w:ascii="宋体" w:hAnsi="宋体"/>
          <w:sz w:val="18"/>
          <w:szCs w:val="18"/>
        </w:rPr>
        <w:t>1）投资标准化债权类资产的风险</w:t>
      </w:r>
    </w:p>
    <w:p>
      <w:pPr>
        <w:ind w:firstLine="360" w:firstLineChars="20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ind w:firstLine="360" w:firstLineChars="200"/>
        <w:rPr>
          <w:rFonts w:ascii="宋体" w:hAnsi="宋体"/>
          <w:sz w:val="18"/>
          <w:szCs w:val="18"/>
        </w:rPr>
      </w:pPr>
      <w:r>
        <w:rPr>
          <w:rFonts w:hint="eastAsia" w:ascii="宋体" w:hAnsi="宋体"/>
          <w:sz w:val="18"/>
          <w:szCs w:val="18"/>
        </w:rPr>
        <w:t>2）投资非标准化债权类资产的风险</w:t>
      </w:r>
    </w:p>
    <w:p>
      <w:pPr>
        <w:ind w:firstLine="360" w:firstLineChars="20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sz w:val="18"/>
          <w:szCs w:val="18"/>
          <w:lang w:val="en-US" w:eastAsia="zh-CN"/>
        </w:rPr>
        <w:t>福建省农村信用社联合社</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9" w:type="default"/>
          <w:footerReference r:id="rId10" w:type="default"/>
          <w:pgSz w:w="11906" w:h="16838"/>
          <w:pgMar w:top="1440" w:right="1800" w:bottom="1440" w:left="1800" w:header="567" w:footer="964" w:gutter="0"/>
          <w:cols w:space="425" w:num="1"/>
          <w:docGrid w:type="lines" w:linePitch="312" w:charSpace="0"/>
        </w:sectPr>
      </w:pPr>
    </w:p>
    <w:p>
      <w:pPr>
        <w:adjustRightInd w:val="0"/>
        <w:spacing w:line="276" w:lineRule="auto"/>
        <w:jc w:val="center"/>
        <w:rPr>
          <w:rStyle w:val="12"/>
          <w:rFonts w:ascii="黑体" w:hAnsi="黑体" w:eastAsia="黑体"/>
          <w:sz w:val="28"/>
          <w:szCs w:val="28"/>
        </w:rPr>
      </w:pPr>
      <w:bookmarkStart w:id="236" w:name="_GoBack"/>
      <w:r>
        <w:rPr>
          <w:rStyle w:val="12"/>
          <w:rFonts w:hint="eastAsia" w:ascii="黑体" w:hAnsi="黑体" w:eastAsia="黑体"/>
          <w:sz w:val="28"/>
          <w:szCs w:val="28"/>
        </w:rPr>
        <w:t>兴银理财【天天万利宝稳利净值型】理财产品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感谢您通过销售机构【福建省农村信用社联合社】以(□ 直销：产品管理人销售/</w:t>
      </w:r>
      <w:r>
        <w:rPr>
          <w:rFonts w:hint="eastAsia" w:asciiTheme="majorEastAsia" w:hAnsiTheme="majorEastAsia" w:eastAsiaTheme="majorEastAsia"/>
          <w:bCs/>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17"/>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numPr>
          <w:ilvl w:val="0"/>
          <w:numId w:val="0"/>
        </w:numPr>
        <w:autoSpaceDE w:val="0"/>
        <w:autoSpaceDN w:val="0"/>
        <w:adjustRightInd w:val="0"/>
        <w:spacing w:line="280" w:lineRule="atLeast"/>
        <w:ind w:firstLine="360" w:firstLineChars="200"/>
        <w:jc w:val="left"/>
        <w:rPr>
          <w:rFonts w:hint="eastAsia" w:ascii="宋体" w:hAnsi="宋体" w:eastAsiaTheme="minorEastAsia"/>
          <w:b/>
          <w:bCs w:val="0"/>
          <w:sz w:val="18"/>
          <w:szCs w:val="18"/>
          <w:highlight w:val="yellow"/>
          <w:lang w:val="en-US" w:eastAsia="zh-CN"/>
        </w:rPr>
      </w:pPr>
      <w:r>
        <w:rPr>
          <w:rFonts w:hint="eastAsia" w:ascii="宋体" w:hAnsi="宋体"/>
          <w:sz w:val="18"/>
          <w:szCs w:val="18"/>
        </w:rPr>
        <w:t>3、销售机构：</w:t>
      </w:r>
      <w:r>
        <w:rPr>
          <w:rFonts w:hint="eastAsia" w:asciiTheme="minorEastAsia" w:hAnsiTheme="minorEastAsia" w:eastAsiaTheme="minorEastAsia" w:cstheme="minorEastAsia"/>
          <w:sz w:val="18"/>
          <w:szCs w:val="18"/>
        </w:rPr>
        <w:t>通过【福建省农村信用社联合社】（作为销售服务机构）购买本产品的，请联系【福建省农村信用社联合社】，【福建省农村信用社联合社】客户服务热线：【0591-96336】；【福建省农村信用社联合社】门户网站：【www.fjnx.com.cn】</w:t>
      </w:r>
      <w:r>
        <w:rPr>
          <w:rFonts w:hint="eastAsia" w:asciiTheme="minorEastAsia" w:hAnsiTheme="minorEastAsia" w:eastAsiaTheme="minorEastAsia" w:cstheme="minorEastAsia"/>
          <w:sz w:val="18"/>
          <w:szCs w:val="18"/>
          <w:lang w:eastAsia="zh-CN"/>
        </w:rPr>
        <w:t>。</w:t>
      </w:r>
    </w:p>
    <w:p>
      <w:pPr>
        <w:ind w:firstLine="360" w:firstLineChars="200"/>
        <w:rPr>
          <w:rFonts w:ascii="宋体" w:hAnsi="宋体"/>
          <w:sz w:val="18"/>
          <w:szCs w:val="18"/>
        </w:rPr>
      </w:pPr>
    </w:p>
    <w:p>
      <w:pPr>
        <w:autoSpaceDE w:val="0"/>
        <w:autoSpaceDN w:val="0"/>
        <w:adjustRightInd w:val="0"/>
        <w:jc w:val="left"/>
        <w:rPr>
          <w:rFonts w:ascii="仿宋_GB2312" w:eastAsia="仿宋_GB2312" w:cs="仿宋_GB2312"/>
          <w:color w:val="000000"/>
          <w:kern w:val="0"/>
          <w:sz w:val="24"/>
          <w:szCs w:val="24"/>
        </w:rPr>
      </w:pPr>
    </w:p>
    <w:bookmarkEnd w:id="236"/>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兴银理财【天天万利宝稳利净值型】理财产品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兴银理财【天天万利宝稳利净值型】理财产品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Pr>
        <w:spacing w:line="360" w:lineRule="auto"/>
        <w:jc w:val="left"/>
        <w:rPr>
          <w:rFonts w:hint="eastAsia" w:ascii="宋体" w:hAnsi="宋体"/>
          <w:b/>
          <w:sz w:val="18"/>
          <w:szCs w:val="18"/>
        </w:rPr>
      </w:pPr>
    </w:p>
    <w:sectPr>
      <w:headerReference r:id="rId11" w:type="default"/>
      <w:footerReference r:id="rId12"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17</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4"/>
          <w:jc w:val="center"/>
        </w:pPr>
        <w:r>
          <w:fldChar w:fldCharType="begin"/>
        </w:r>
        <w:r>
          <w:instrText xml:space="preserve"> PAGE   \* MERGEFORMAT </w:instrText>
        </w:r>
        <w:r>
          <w:fldChar w:fldCharType="separate"/>
        </w:r>
        <w:r>
          <w:rPr>
            <w:lang w:val="zh-CN"/>
          </w:rPr>
          <w:t>23</w:t>
        </w:r>
        <w:r>
          <w:fldChar w:fldCharType="end"/>
        </w:r>
      </w:p>
    </w:sdtContent>
  </w:sdt>
  <w:p>
    <w:pPr>
      <w:pStyle w:val="3"/>
      <w:jc w:val="both"/>
      <w:rPr>
        <w:rFonts w:ascii="黑体" w:hAnsi="黑体" w:eastAsia="黑体"/>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7</w:t>
        </w:r>
        <w:r>
          <w:fldChar w:fldCharType="end"/>
        </w:r>
      </w:p>
    </w:sdtContent>
  </w:sdt>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4"/>
          <w:jc w:val="center"/>
        </w:pPr>
        <w:r>
          <w:fldChar w:fldCharType="begin"/>
        </w:r>
        <w:r>
          <w:instrText xml:space="preserve">PAGE   \* MERGEFORMAT</w:instrText>
        </w:r>
        <w:r>
          <w:fldChar w:fldCharType="separate"/>
        </w:r>
        <w:r>
          <w:rPr>
            <w:lang w:val="zh-CN"/>
          </w:rPr>
          <w:t>5</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26381B"/>
    <w:rsid w:val="69CD2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2024-08-05T03:26:00Z</dcterms:created>
  <dc:creator>cib</dc:creator>
  <cp:lastModifiedBy>黄立杰</cp:lastModifiedBy>
  <dcterms:modified xsi:type="dcterms:W3CDTF">2024-08-05T09:19:34Z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